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Cs/>
          <w:color w:val="auto"/>
          <w:sz w:val="48"/>
          <w:szCs w:val="48"/>
          <w:highlight w:val="none"/>
          <w:lang w:eastAsia="zh-CN"/>
        </w:rPr>
      </w:pPr>
      <w:r>
        <w:rPr>
          <w:rFonts w:hint="eastAsia" w:ascii="宋体" w:hAnsi="宋体" w:cs="宋体"/>
          <w:b/>
          <w:color w:val="auto"/>
          <w:spacing w:val="20"/>
          <w:sz w:val="48"/>
          <w:szCs w:val="48"/>
          <w:highlight w:val="none"/>
          <w:lang w:val="en-US" w:eastAsia="zh-CN"/>
        </w:rPr>
        <w:t xml:space="preserve">                                                                                                                                                                                                                                                                                      </w:t>
      </w:r>
      <w:r>
        <w:rPr>
          <w:rFonts w:hint="eastAsia" w:ascii="宋体" w:hAnsi="宋体" w:cs="宋体"/>
          <w:b/>
          <w:color w:val="auto"/>
          <w:spacing w:val="20"/>
          <w:sz w:val="48"/>
          <w:szCs w:val="48"/>
          <w:highlight w:val="none"/>
          <w:lang w:eastAsia="zh-CN"/>
        </w:rPr>
        <w:t>南通职业大学2024年中文纸质图书采购项目</w:t>
      </w:r>
    </w:p>
    <w:p>
      <w:pPr>
        <w:jc w:val="center"/>
        <w:rPr>
          <w:rFonts w:ascii="宋体" w:hAnsi="宋体" w:cs="宋体"/>
          <w:bCs/>
          <w:color w:val="auto"/>
          <w:sz w:val="100"/>
          <w:szCs w:val="100"/>
          <w:highlight w:val="none"/>
        </w:rPr>
      </w:pPr>
    </w:p>
    <w:p>
      <w:pPr>
        <w:jc w:val="center"/>
        <w:rPr>
          <w:rFonts w:ascii="宋体" w:hAnsi="宋体" w:cs="宋体"/>
          <w:bCs/>
          <w:color w:val="auto"/>
          <w:sz w:val="100"/>
          <w:szCs w:val="100"/>
          <w:highlight w:val="none"/>
        </w:rPr>
      </w:pPr>
      <w:r>
        <w:rPr>
          <w:rFonts w:hint="eastAsia" w:ascii="宋体" w:hAnsi="宋体" w:cs="宋体"/>
          <w:bCs/>
          <w:color w:val="auto"/>
          <w:sz w:val="100"/>
          <w:szCs w:val="100"/>
          <w:highlight w:val="none"/>
        </w:rPr>
        <w:t>招标文件</w:t>
      </w:r>
    </w:p>
    <w:p>
      <w:pPr>
        <w:pStyle w:val="7"/>
        <w:spacing w:line="500" w:lineRule="exact"/>
        <w:rPr>
          <w:rFonts w:ascii="宋体" w:hAnsi="宋体" w:cs="宋体"/>
          <w:b w:val="0"/>
          <w:bCs/>
          <w:color w:val="auto"/>
          <w:highlight w:val="none"/>
        </w:rPr>
      </w:pPr>
    </w:p>
    <w:p>
      <w:pPr>
        <w:pStyle w:val="7"/>
        <w:spacing w:line="500" w:lineRule="exact"/>
        <w:rPr>
          <w:rFonts w:ascii="宋体" w:hAnsi="宋体" w:cs="宋体"/>
          <w:b w:val="0"/>
          <w:bCs/>
          <w:color w:val="auto"/>
          <w:sz w:val="36"/>
          <w:szCs w:val="36"/>
          <w:highlight w:val="none"/>
        </w:rPr>
      </w:pPr>
      <w:r>
        <w:rPr>
          <w:rFonts w:hint="eastAsia" w:ascii="宋体" w:hAnsi="宋体" w:cs="宋体"/>
          <w:bCs/>
          <w:color w:val="auto"/>
          <w:sz w:val="36"/>
          <w:szCs w:val="36"/>
          <w:highlight w:val="none"/>
        </w:rPr>
        <w:t>采购文件编号：ZRNT20240080</w:t>
      </w:r>
    </w:p>
    <w:p>
      <w:pPr>
        <w:spacing w:line="500" w:lineRule="exact"/>
        <w:ind w:firstLine="420"/>
        <w:jc w:val="center"/>
        <w:rPr>
          <w:rFonts w:ascii="宋体" w:hAnsi="宋体" w:cs="宋体"/>
          <w:b/>
          <w:color w:val="auto"/>
          <w:sz w:val="36"/>
          <w:highlight w:val="none"/>
        </w:rPr>
      </w:pPr>
    </w:p>
    <w:p>
      <w:pPr>
        <w:spacing w:line="500" w:lineRule="exact"/>
        <w:jc w:val="center"/>
        <w:rPr>
          <w:rFonts w:ascii="宋体" w:hAnsi="宋体" w:cs="宋体"/>
          <w:b/>
          <w:color w:val="auto"/>
          <w:sz w:val="36"/>
          <w:highlight w:val="none"/>
        </w:rPr>
      </w:pPr>
    </w:p>
    <w:p>
      <w:pPr>
        <w:spacing w:line="500" w:lineRule="exact"/>
        <w:jc w:val="center"/>
        <w:rPr>
          <w:rFonts w:ascii="宋体" w:hAnsi="宋体" w:cs="宋体"/>
          <w:b/>
          <w:color w:val="auto"/>
          <w:sz w:val="36"/>
          <w:highlight w:val="none"/>
        </w:rPr>
      </w:pPr>
    </w:p>
    <w:p>
      <w:pPr>
        <w:spacing w:line="500" w:lineRule="exact"/>
        <w:jc w:val="center"/>
        <w:rPr>
          <w:rFonts w:ascii="宋体" w:hAnsi="宋体" w:cs="宋体"/>
          <w:color w:val="auto"/>
          <w:sz w:val="32"/>
          <w:highlight w:val="none"/>
        </w:rPr>
      </w:pPr>
      <w:r>
        <w:rPr>
          <w:rFonts w:hint="eastAsia" w:ascii="宋体" w:hAnsi="宋体" w:cs="宋体"/>
          <w:color w:val="auto"/>
          <w:highlight w:val="none"/>
        </w:rPr>
        <w:t>、</w:t>
      </w:r>
    </w:p>
    <w:p>
      <w:pPr>
        <w:rPr>
          <w:rFonts w:ascii="宋体" w:hAnsi="宋体" w:cs="宋体"/>
          <w:color w:val="auto"/>
          <w:sz w:val="32"/>
          <w:highlight w:val="none"/>
        </w:rPr>
      </w:pPr>
    </w:p>
    <w:p>
      <w:pPr>
        <w:pStyle w:val="21"/>
        <w:rPr>
          <w:rFonts w:cs="宋体"/>
          <w:color w:val="auto"/>
          <w:highlight w:val="none"/>
        </w:rPr>
      </w:pPr>
    </w:p>
    <w:p>
      <w:pPr>
        <w:pStyle w:val="71"/>
        <w:rPr>
          <w:rFonts w:ascii="宋体" w:hAnsi="宋体" w:eastAsia="宋体" w:cs="宋体"/>
          <w:color w:val="auto"/>
          <w:sz w:val="32"/>
          <w:highlight w:val="none"/>
        </w:rPr>
      </w:pPr>
    </w:p>
    <w:p>
      <w:pPr>
        <w:pStyle w:val="71"/>
        <w:rPr>
          <w:rFonts w:ascii="宋体" w:hAnsi="宋体" w:eastAsia="宋体" w:cs="宋体"/>
          <w:color w:val="auto"/>
          <w:sz w:val="32"/>
          <w:highlight w:val="none"/>
        </w:rPr>
      </w:pPr>
    </w:p>
    <w:p>
      <w:pPr>
        <w:spacing w:line="500" w:lineRule="exact"/>
        <w:jc w:val="center"/>
        <w:rPr>
          <w:rFonts w:ascii="宋体" w:hAnsi="宋体" w:cs="宋体"/>
          <w:color w:val="auto"/>
          <w:sz w:val="32"/>
          <w:highlight w:val="none"/>
        </w:rPr>
      </w:pPr>
    </w:p>
    <w:p>
      <w:pPr>
        <w:spacing w:line="500" w:lineRule="exact"/>
        <w:jc w:val="center"/>
        <w:rPr>
          <w:rFonts w:ascii="宋体" w:hAnsi="宋体" w:cs="宋体"/>
          <w:color w:val="auto"/>
          <w:sz w:val="32"/>
          <w:highlight w:val="none"/>
        </w:rPr>
      </w:pPr>
    </w:p>
    <w:p>
      <w:pPr>
        <w:adjustRightInd w:val="0"/>
        <w:spacing w:before="120" w:after="120" w:line="500" w:lineRule="exact"/>
        <w:ind w:right="120"/>
        <w:jc w:val="center"/>
        <w:textAlignment w:val="baseline"/>
        <w:rPr>
          <w:rFonts w:ascii="宋体" w:hAnsi="宋体" w:cs="宋体"/>
          <w:b/>
          <w:bCs/>
          <w:color w:val="auto"/>
          <w:sz w:val="32"/>
          <w:highlight w:val="none"/>
        </w:rPr>
      </w:pPr>
    </w:p>
    <w:p>
      <w:pPr>
        <w:adjustRightInd w:val="0"/>
        <w:spacing w:before="120" w:after="120" w:line="500" w:lineRule="exact"/>
        <w:ind w:right="120"/>
        <w:jc w:val="center"/>
        <w:textAlignment w:val="baseline"/>
        <w:rPr>
          <w:rFonts w:hint="eastAsia" w:ascii="宋体" w:hAnsi="宋体" w:eastAsia="宋体" w:cs="宋体"/>
          <w:b/>
          <w:bCs/>
          <w:color w:val="auto"/>
          <w:sz w:val="32"/>
          <w:highlight w:val="none"/>
          <w:lang w:eastAsia="zh-CN"/>
        </w:rPr>
      </w:pPr>
      <w:r>
        <w:rPr>
          <w:rFonts w:hint="eastAsia" w:ascii="宋体" w:hAnsi="宋体" w:cs="宋体"/>
          <w:b/>
          <w:bCs/>
          <w:color w:val="auto"/>
          <w:sz w:val="32"/>
          <w:highlight w:val="none"/>
        </w:rPr>
        <w:t>采购单位：</w:t>
      </w:r>
      <w:r>
        <w:rPr>
          <w:rFonts w:hint="eastAsia" w:ascii="宋体" w:hAnsi="宋体" w:cs="宋体"/>
          <w:b/>
          <w:bCs/>
          <w:color w:val="auto"/>
          <w:sz w:val="32"/>
          <w:highlight w:val="none"/>
          <w:lang w:eastAsia="zh-CN"/>
        </w:rPr>
        <w:t>南通职业大学</w:t>
      </w:r>
    </w:p>
    <w:p>
      <w:pPr>
        <w:adjustRightInd w:val="0"/>
        <w:spacing w:before="120" w:after="120" w:line="500" w:lineRule="exact"/>
        <w:ind w:right="120"/>
        <w:jc w:val="center"/>
        <w:textAlignment w:val="baseline"/>
        <w:rPr>
          <w:rFonts w:ascii="宋体" w:hAnsi="宋体" w:cs="宋体"/>
          <w:b/>
          <w:bCs/>
          <w:color w:val="auto"/>
          <w:sz w:val="32"/>
          <w:highlight w:val="none"/>
        </w:rPr>
      </w:pPr>
      <w:r>
        <w:rPr>
          <w:rFonts w:hint="eastAsia" w:ascii="宋体" w:hAnsi="宋体" w:cs="宋体"/>
          <w:b/>
          <w:bCs/>
          <w:color w:val="auto"/>
          <w:sz w:val="32"/>
          <w:highlight w:val="none"/>
        </w:rPr>
        <w:t>采购代理机构：江苏中润工程建设咨询有限公司</w:t>
      </w:r>
    </w:p>
    <w:p>
      <w:pPr>
        <w:adjustRightInd w:val="0"/>
        <w:spacing w:before="120" w:after="120" w:line="500" w:lineRule="exact"/>
        <w:ind w:right="120"/>
        <w:jc w:val="center"/>
        <w:textAlignment w:val="baseline"/>
        <w:rPr>
          <w:rFonts w:ascii="宋体" w:hAnsi="宋体" w:cs="宋体"/>
          <w:b/>
          <w:bCs/>
          <w:color w:val="auto"/>
          <w:sz w:val="32"/>
          <w:highlight w:val="none"/>
        </w:rPr>
      </w:pPr>
      <w:r>
        <w:rPr>
          <w:rFonts w:hint="eastAsia" w:ascii="宋体" w:hAnsi="宋体" w:cs="宋体"/>
          <w:b/>
          <w:bCs/>
          <w:color w:val="auto"/>
          <w:sz w:val="32"/>
          <w:highlight w:val="none"/>
        </w:rPr>
        <w:t>2024年0</w:t>
      </w:r>
      <w:r>
        <w:rPr>
          <w:rFonts w:hint="eastAsia" w:ascii="宋体" w:hAnsi="宋体" w:cs="宋体"/>
          <w:b/>
          <w:bCs/>
          <w:color w:val="auto"/>
          <w:sz w:val="32"/>
          <w:highlight w:val="none"/>
          <w:lang w:val="en-US" w:eastAsia="zh-CN"/>
        </w:rPr>
        <w:t>4</w:t>
      </w:r>
      <w:r>
        <w:rPr>
          <w:rFonts w:hint="eastAsia" w:ascii="宋体" w:hAnsi="宋体" w:cs="宋体"/>
          <w:b/>
          <w:bCs/>
          <w:color w:val="auto"/>
          <w:sz w:val="32"/>
          <w:highlight w:val="none"/>
        </w:rPr>
        <w:t>月</w:t>
      </w:r>
      <w:r>
        <w:rPr>
          <w:rFonts w:hint="eastAsia" w:ascii="宋体" w:hAnsi="宋体" w:cs="宋体"/>
          <w:b/>
          <w:bCs/>
          <w:color w:val="auto"/>
          <w:sz w:val="32"/>
          <w:highlight w:val="none"/>
          <w:lang w:val="en-US" w:eastAsia="zh-CN"/>
        </w:rPr>
        <w:t>08</w:t>
      </w:r>
      <w:r>
        <w:rPr>
          <w:rFonts w:hint="eastAsia" w:ascii="宋体" w:hAnsi="宋体" w:cs="宋体"/>
          <w:b/>
          <w:bCs/>
          <w:color w:val="auto"/>
          <w:sz w:val="32"/>
          <w:highlight w:val="none"/>
        </w:rPr>
        <w:t>日</w:t>
      </w:r>
    </w:p>
    <w:p>
      <w:pPr>
        <w:adjustRightInd w:val="0"/>
        <w:snapToGrid w:val="0"/>
        <w:ind w:left="-158" w:leftChars="-75"/>
        <w:jc w:val="center"/>
        <w:rPr>
          <w:rFonts w:ascii="宋体" w:hAnsi="宋体" w:cs="宋体"/>
          <w:b/>
          <w:bCs/>
          <w:color w:val="auto"/>
          <w:sz w:val="44"/>
          <w:szCs w:val="44"/>
          <w:highlight w:val="none"/>
        </w:rPr>
      </w:pPr>
    </w:p>
    <w:p>
      <w:pPr>
        <w:adjustRightInd w:val="0"/>
        <w:snapToGrid w:val="0"/>
        <w:ind w:left="-158" w:leftChars="-75"/>
        <w:jc w:val="center"/>
        <w:rPr>
          <w:rFonts w:ascii="宋体" w:hAnsi="宋体" w:cs="宋体"/>
          <w:b/>
          <w:bCs/>
          <w:color w:val="auto"/>
          <w:sz w:val="32"/>
          <w:szCs w:val="32"/>
          <w:highlight w:val="none"/>
        </w:rPr>
      </w:pPr>
      <w:r>
        <w:rPr>
          <w:rFonts w:hint="eastAsia" w:ascii="宋体" w:hAnsi="宋体" w:cs="宋体"/>
          <w:b/>
          <w:bCs/>
          <w:color w:val="auto"/>
          <w:sz w:val="44"/>
          <w:szCs w:val="44"/>
          <w:highlight w:val="none"/>
        </w:rPr>
        <w:t>目 录</w:t>
      </w:r>
    </w:p>
    <w:p>
      <w:pPr>
        <w:tabs>
          <w:tab w:val="left" w:pos="7740"/>
        </w:tabs>
        <w:adjustRightInd w:val="0"/>
        <w:snapToGrid w:val="0"/>
        <w:spacing w:line="1000" w:lineRule="exact"/>
        <w:ind w:firstLine="640" w:firstLineChars="200"/>
        <w:rPr>
          <w:rFonts w:ascii="宋体" w:hAnsi="宋体" w:cs="宋体"/>
          <w:bCs/>
          <w:color w:val="auto"/>
          <w:sz w:val="32"/>
          <w:szCs w:val="32"/>
          <w:highlight w:val="none"/>
        </w:rPr>
      </w:pPr>
    </w:p>
    <w:p>
      <w:pPr>
        <w:tabs>
          <w:tab w:val="left" w:pos="7740"/>
        </w:tabs>
        <w:adjustRightInd w:val="0"/>
        <w:snapToGrid w:val="0"/>
        <w:spacing w:line="1000" w:lineRule="exact"/>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第一部分  投标邀请</w:t>
      </w:r>
    </w:p>
    <w:p>
      <w:pPr>
        <w:tabs>
          <w:tab w:val="left" w:pos="7740"/>
        </w:tabs>
        <w:adjustRightInd w:val="0"/>
        <w:snapToGrid w:val="0"/>
        <w:spacing w:line="1000" w:lineRule="exact"/>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第二部分  投标须知</w:t>
      </w:r>
    </w:p>
    <w:p>
      <w:pPr>
        <w:tabs>
          <w:tab w:val="left" w:pos="7740"/>
        </w:tabs>
        <w:adjustRightInd w:val="0"/>
        <w:snapToGrid w:val="0"/>
        <w:spacing w:line="1000" w:lineRule="exact"/>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第三部分  项目需求</w:t>
      </w:r>
    </w:p>
    <w:p>
      <w:pPr>
        <w:tabs>
          <w:tab w:val="left" w:pos="7740"/>
        </w:tabs>
        <w:adjustRightInd w:val="0"/>
        <w:snapToGrid w:val="0"/>
        <w:spacing w:line="1000" w:lineRule="exact"/>
        <w:ind w:firstLine="640" w:firstLineChars="200"/>
        <w:rPr>
          <w:rFonts w:ascii="宋体" w:hAnsi="宋体" w:cs="宋体"/>
          <w:color w:val="auto"/>
          <w:spacing w:val="2"/>
          <w:sz w:val="32"/>
          <w:szCs w:val="32"/>
          <w:highlight w:val="none"/>
        </w:rPr>
      </w:pPr>
      <w:r>
        <w:rPr>
          <w:rFonts w:hint="eastAsia" w:ascii="宋体" w:hAnsi="宋体" w:cs="宋体"/>
          <w:color w:val="auto"/>
          <w:sz w:val="32"/>
          <w:szCs w:val="32"/>
          <w:highlight w:val="none"/>
        </w:rPr>
        <w:t xml:space="preserve">第四部分  </w:t>
      </w:r>
      <w:r>
        <w:rPr>
          <w:rFonts w:hint="eastAsia" w:ascii="宋体" w:hAnsi="宋体" w:cs="宋体"/>
          <w:bCs/>
          <w:color w:val="auto"/>
          <w:sz w:val="32"/>
          <w:szCs w:val="32"/>
          <w:highlight w:val="none"/>
        </w:rPr>
        <w:t>开标和评标</w:t>
      </w:r>
    </w:p>
    <w:p>
      <w:pPr>
        <w:tabs>
          <w:tab w:val="left" w:pos="7740"/>
        </w:tabs>
        <w:adjustRightInd w:val="0"/>
        <w:snapToGrid w:val="0"/>
        <w:spacing w:line="1000" w:lineRule="exact"/>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第五部分  投标文件组成</w:t>
      </w:r>
    </w:p>
    <w:p>
      <w:pPr>
        <w:spacing w:line="500" w:lineRule="exact"/>
        <w:rPr>
          <w:rFonts w:ascii="宋体" w:hAnsi="宋体" w:cs="宋体"/>
          <w:b/>
          <w:color w:val="auto"/>
          <w:sz w:val="32"/>
          <w:szCs w:val="32"/>
          <w:highlight w:val="none"/>
        </w:rPr>
      </w:pPr>
    </w:p>
    <w:p>
      <w:pPr>
        <w:tabs>
          <w:tab w:val="left" w:pos="7740"/>
        </w:tabs>
        <w:spacing w:line="500" w:lineRule="exact"/>
        <w:rPr>
          <w:rFonts w:ascii="宋体" w:hAnsi="宋体" w:cs="宋体"/>
          <w:b/>
          <w:color w:val="auto"/>
          <w:spacing w:val="2"/>
          <w:sz w:val="32"/>
          <w:szCs w:val="32"/>
          <w:highlight w:val="none"/>
        </w:rPr>
      </w:pPr>
    </w:p>
    <w:p>
      <w:pPr>
        <w:tabs>
          <w:tab w:val="left" w:pos="7740"/>
        </w:tabs>
        <w:spacing w:line="500" w:lineRule="exact"/>
        <w:rPr>
          <w:rFonts w:ascii="宋体" w:hAnsi="宋体" w:cs="宋体"/>
          <w:b/>
          <w:color w:val="auto"/>
          <w:spacing w:val="2"/>
          <w:sz w:val="32"/>
          <w:szCs w:val="32"/>
          <w:highlight w:val="none"/>
        </w:rPr>
      </w:pPr>
    </w:p>
    <w:p>
      <w:pPr>
        <w:tabs>
          <w:tab w:val="left" w:pos="7740"/>
        </w:tabs>
        <w:spacing w:line="500" w:lineRule="exact"/>
        <w:rPr>
          <w:rFonts w:ascii="宋体" w:hAnsi="宋体" w:cs="宋体"/>
          <w:b/>
          <w:bCs/>
          <w:color w:val="auto"/>
          <w:sz w:val="32"/>
          <w:szCs w:val="32"/>
          <w:highlight w:val="none"/>
        </w:rPr>
      </w:pPr>
    </w:p>
    <w:p>
      <w:pPr>
        <w:spacing w:line="500" w:lineRule="exact"/>
        <w:outlineLvl w:val="0"/>
        <w:rPr>
          <w:rFonts w:ascii="宋体" w:hAnsi="宋体" w:cs="宋体"/>
          <w:b/>
          <w:color w:val="auto"/>
          <w:sz w:val="44"/>
          <w:szCs w:val="44"/>
          <w:highlight w:val="none"/>
        </w:rPr>
      </w:pPr>
    </w:p>
    <w:p>
      <w:pPr>
        <w:spacing w:line="500" w:lineRule="exact"/>
        <w:outlineLvl w:val="0"/>
        <w:rPr>
          <w:rFonts w:ascii="宋体" w:hAnsi="宋体" w:cs="宋体"/>
          <w:color w:val="auto"/>
          <w:sz w:val="44"/>
          <w:szCs w:val="44"/>
          <w:highlight w:val="none"/>
        </w:rPr>
      </w:pPr>
    </w:p>
    <w:p>
      <w:pPr>
        <w:spacing w:line="500" w:lineRule="exact"/>
        <w:outlineLvl w:val="0"/>
        <w:rPr>
          <w:rFonts w:ascii="宋体" w:hAnsi="宋体" w:cs="宋体"/>
          <w:color w:val="auto"/>
          <w:sz w:val="44"/>
          <w:szCs w:val="44"/>
          <w:highlight w:val="none"/>
        </w:rPr>
      </w:pPr>
    </w:p>
    <w:p>
      <w:pPr>
        <w:spacing w:line="500" w:lineRule="exact"/>
        <w:outlineLvl w:val="0"/>
        <w:rPr>
          <w:rFonts w:ascii="宋体" w:hAnsi="宋体" w:cs="宋体"/>
          <w:color w:val="auto"/>
          <w:sz w:val="44"/>
          <w:szCs w:val="44"/>
          <w:highlight w:val="none"/>
        </w:rPr>
      </w:pPr>
    </w:p>
    <w:p>
      <w:pPr>
        <w:spacing w:line="500" w:lineRule="exact"/>
        <w:outlineLvl w:val="0"/>
        <w:rPr>
          <w:rFonts w:ascii="宋体" w:hAnsi="宋体" w:cs="宋体"/>
          <w:color w:val="auto"/>
          <w:sz w:val="44"/>
          <w:szCs w:val="44"/>
          <w:highlight w:val="none"/>
        </w:rPr>
      </w:pPr>
    </w:p>
    <w:p>
      <w:pPr>
        <w:spacing w:line="500" w:lineRule="exact"/>
        <w:outlineLvl w:val="0"/>
        <w:rPr>
          <w:rFonts w:ascii="宋体" w:hAnsi="宋体" w:cs="宋体"/>
          <w:color w:val="auto"/>
          <w:sz w:val="44"/>
          <w:szCs w:val="44"/>
          <w:highlight w:val="none"/>
        </w:rPr>
      </w:pPr>
    </w:p>
    <w:p>
      <w:pPr>
        <w:spacing w:line="500" w:lineRule="exact"/>
        <w:outlineLvl w:val="0"/>
        <w:rPr>
          <w:rFonts w:ascii="宋体" w:hAnsi="宋体" w:cs="宋体"/>
          <w:color w:val="auto"/>
          <w:sz w:val="44"/>
          <w:szCs w:val="44"/>
          <w:highlight w:val="none"/>
        </w:rPr>
      </w:pPr>
    </w:p>
    <w:p>
      <w:pPr>
        <w:spacing w:line="500" w:lineRule="exact"/>
        <w:outlineLvl w:val="0"/>
        <w:rPr>
          <w:rFonts w:ascii="宋体" w:hAnsi="宋体" w:cs="宋体"/>
          <w:color w:val="auto"/>
          <w:sz w:val="44"/>
          <w:szCs w:val="44"/>
          <w:highlight w:val="none"/>
        </w:rPr>
      </w:pPr>
    </w:p>
    <w:p>
      <w:pPr>
        <w:spacing w:line="500" w:lineRule="exact"/>
        <w:outlineLvl w:val="0"/>
        <w:rPr>
          <w:rFonts w:ascii="宋体" w:hAnsi="宋体" w:cs="宋体"/>
          <w:color w:val="auto"/>
          <w:sz w:val="44"/>
          <w:szCs w:val="44"/>
          <w:highlight w:val="none"/>
        </w:rPr>
      </w:pPr>
    </w:p>
    <w:p>
      <w:pPr>
        <w:adjustRightInd w:val="0"/>
        <w:snapToGrid w:val="0"/>
        <w:spacing w:line="800" w:lineRule="exact"/>
        <w:jc w:val="center"/>
        <w:outlineLvl w:val="0"/>
        <w:rPr>
          <w:rFonts w:ascii="宋体" w:hAnsi="宋体" w:cs="宋体"/>
          <w:b/>
          <w:color w:val="auto"/>
          <w:sz w:val="32"/>
          <w:szCs w:val="32"/>
          <w:highlight w:val="none"/>
        </w:rPr>
      </w:pPr>
      <w:bookmarkStart w:id="107" w:name="_GoBack"/>
      <w:bookmarkEnd w:id="107"/>
      <w:r>
        <w:rPr>
          <w:rFonts w:hint="eastAsia" w:ascii="宋体" w:hAnsi="宋体" w:cs="宋体"/>
          <w:b/>
          <w:color w:val="auto"/>
          <w:sz w:val="36"/>
          <w:szCs w:val="36"/>
          <w:highlight w:val="none"/>
        </w:rPr>
        <w:t xml:space="preserve">第一部分 </w:t>
      </w:r>
      <w:bookmarkStart w:id="0" w:name="OLE_LINK5"/>
      <w:bookmarkStart w:id="1" w:name="OLE_LINK7"/>
      <w:r>
        <w:rPr>
          <w:rFonts w:hint="eastAsia" w:ascii="宋体" w:hAnsi="宋体" w:cs="宋体"/>
          <w:b/>
          <w:color w:val="auto"/>
          <w:sz w:val="36"/>
          <w:szCs w:val="36"/>
          <w:highlight w:val="none"/>
        </w:rPr>
        <w:t>投标邀请</w:t>
      </w:r>
    </w:p>
    <w:p>
      <w:pPr>
        <w:adjustRightInd w:val="0"/>
        <w:snapToGrid w:val="0"/>
        <w:spacing w:line="500" w:lineRule="exact"/>
        <w:jc w:val="center"/>
        <w:outlineLvl w:val="0"/>
        <w:rPr>
          <w:rFonts w:ascii="宋体" w:hAnsi="宋体" w:cs="宋体"/>
          <w:b/>
          <w:color w:val="auto"/>
          <w:sz w:val="32"/>
          <w:szCs w:val="32"/>
          <w:highlight w:val="none"/>
        </w:rPr>
      </w:pPr>
    </w:p>
    <w:p>
      <w:pPr>
        <w:pBdr>
          <w:top w:val="single" w:color="auto" w:sz="4" w:space="1"/>
          <w:left w:val="single" w:color="auto" w:sz="4" w:space="4"/>
          <w:bottom w:val="single" w:color="auto" w:sz="4" w:space="1"/>
          <w:right w:val="single" w:color="auto" w:sz="4" w:space="4"/>
        </w:pBdr>
        <w:adjustRightInd w:val="0"/>
        <w:snapToGrid w:val="0"/>
        <w:spacing w:line="460" w:lineRule="exact"/>
        <w:rPr>
          <w:rFonts w:ascii="宋体" w:hAnsi="宋体" w:cs="宋体"/>
          <w:color w:val="auto"/>
          <w:sz w:val="28"/>
          <w:szCs w:val="28"/>
          <w:highlight w:val="none"/>
        </w:rPr>
      </w:pPr>
      <w:bookmarkStart w:id="2" w:name="OLE_LINK6"/>
      <w:r>
        <w:rPr>
          <w:rFonts w:hint="eastAsia" w:ascii="宋体" w:hAnsi="宋体" w:cs="宋体"/>
          <w:color w:val="auto"/>
          <w:sz w:val="28"/>
          <w:szCs w:val="28"/>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eastAsia="zh-CN"/>
        </w:rPr>
        <w:t>南通职业大学2024年中文纸质图书采购项目</w:t>
      </w:r>
      <w:r>
        <w:rPr>
          <w:rFonts w:hint="eastAsia" w:ascii="宋体" w:hAnsi="宋体" w:cs="宋体"/>
          <w:color w:val="auto"/>
          <w:sz w:val="28"/>
          <w:szCs w:val="28"/>
          <w:highlight w:val="none"/>
        </w:rPr>
        <w:t>）的潜在投标人应在</w:t>
      </w:r>
      <w:r>
        <w:rPr>
          <w:rFonts w:hint="eastAsia" w:ascii="宋体" w:hAnsi="宋体" w:cs="宋体"/>
          <w:color w:val="auto"/>
          <w:sz w:val="28"/>
          <w:szCs w:val="28"/>
          <w:highlight w:val="none"/>
          <w:lang w:eastAsia="zh-CN"/>
        </w:rPr>
        <w:t>南通职业大学</w:t>
      </w:r>
      <w:r>
        <w:rPr>
          <w:rFonts w:hint="eastAsia" w:ascii="宋体" w:hAnsi="宋体" w:cs="宋体"/>
          <w:color w:val="auto"/>
          <w:sz w:val="28"/>
          <w:szCs w:val="28"/>
          <w:highlight w:val="none"/>
        </w:rPr>
        <w:t>网站获取招标文件，并于2024年0</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19</w:t>
      </w:r>
      <w:r>
        <w:rPr>
          <w:rFonts w:hint="eastAsia" w:ascii="宋体" w:hAnsi="宋体" w:cs="宋体"/>
          <w:color w:val="auto"/>
          <w:sz w:val="28"/>
          <w:szCs w:val="28"/>
          <w:highlight w:val="none"/>
        </w:rPr>
        <w:t>日14点00分（北京时间）前递交投标文件。</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一、项目基本情况</w:t>
      </w:r>
    </w:p>
    <w:p>
      <w:pPr>
        <w:adjustRightInd w:val="0"/>
        <w:snapToGrid w:val="0"/>
        <w:spacing w:line="460" w:lineRule="exact"/>
        <w:ind w:firstLine="560" w:firstLineChars="200"/>
        <w:rPr>
          <w:rFonts w:ascii="宋体" w:hAnsi="宋体" w:cs="宋体"/>
          <w:color w:val="auto"/>
          <w:spacing w:val="7"/>
          <w:kern w:val="0"/>
          <w:sz w:val="28"/>
          <w:szCs w:val="22"/>
          <w:highlight w:val="none"/>
        </w:rPr>
      </w:pP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项目编号：ZRNT20240080</w:t>
      </w:r>
    </w:p>
    <w:p>
      <w:pPr>
        <w:adjustRightInd w:val="0"/>
        <w:snapToGrid w:val="0"/>
        <w:spacing w:line="4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lang w:eastAsia="zh-CN"/>
        </w:rPr>
        <w:t>南通职业大学2024年中文纸质图书采购项目</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t>项目类型：货物</w:t>
      </w:r>
    </w:p>
    <w:p>
      <w:pPr>
        <w:adjustRightInd w:val="0"/>
        <w:snapToGrid w:val="0"/>
        <w:spacing w:line="4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所属行业：</w:t>
      </w:r>
      <w:r>
        <w:rPr>
          <w:rFonts w:hint="eastAsia" w:ascii="宋体" w:hAnsi="宋体" w:cs="宋体"/>
          <w:color w:val="auto"/>
          <w:sz w:val="28"/>
          <w:szCs w:val="28"/>
          <w:highlight w:val="none"/>
          <w:lang w:val="en-US" w:eastAsia="zh-CN"/>
        </w:rPr>
        <w:t>零售业</w:t>
      </w:r>
    </w:p>
    <w:p>
      <w:pPr>
        <w:adjustRightInd w:val="0"/>
        <w:snapToGrid w:val="0"/>
        <w:spacing w:line="46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预算金额：</w:t>
      </w:r>
      <w:r>
        <w:rPr>
          <w:rFonts w:hint="eastAsia" w:ascii="宋体" w:hAnsi="宋体" w:cs="宋体"/>
          <w:color w:val="auto"/>
          <w:sz w:val="28"/>
          <w:szCs w:val="28"/>
          <w:highlight w:val="none"/>
          <w:lang w:val="en-US" w:eastAsia="zh-CN"/>
        </w:rPr>
        <w:t>40万元</w:t>
      </w:r>
      <w:r>
        <w:rPr>
          <w:rFonts w:hint="eastAsia" w:ascii="宋体" w:hAnsi="宋体" w:cs="宋体"/>
          <w:color w:val="auto"/>
          <w:sz w:val="28"/>
          <w:szCs w:val="28"/>
          <w:highlight w:val="none"/>
        </w:rPr>
        <w:t xml:space="preserve"> </w:t>
      </w:r>
    </w:p>
    <w:p>
      <w:pPr>
        <w:adjustRightInd w:val="0"/>
        <w:snapToGrid w:val="0"/>
        <w:spacing w:line="46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标段一：</w:t>
      </w:r>
      <w:r>
        <w:rPr>
          <w:rFonts w:hint="eastAsia" w:ascii="宋体" w:hAnsi="宋体" w:cs="宋体"/>
          <w:color w:val="auto"/>
          <w:sz w:val="28"/>
          <w:szCs w:val="28"/>
          <w:highlight w:val="none"/>
        </w:rPr>
        <w:t>自2012年以来出版的以科技、经济、文学、外语等类为主的中文正版特价书</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采购预算（实洋）为</w:t>
      </w:r>
      <w:r>
        <w:rPr>
          <w:rFonts w:hint="eastAsia" w:ascii="宋体" w:hAnsi="宋体" w:eastAsia="宋体" w:cs="宋体"/>
          <w:color w:val="auto"/>
          <w:sz w:val="28"/>
          <w:szCs w:val="28"/>
          <w:highlight w:val="none"/>
          <w:lang w:val="en-US" w:eastAsia="zh-CN"/>
        </w:rPr>
        <w:t>22</w:t>
      </w:r>
      <w:r>
        <w:rPr>
          <w:rFonts w:hint="eastAsia" w:ascii="宋体" w:hAnsi="宋体" w:eastAsia="宋体" w:cs="宋体"/>
          <w:color w:val="auto"/>
          <w:sz w:val="28"/>
          <w:szCs w:val="28"/>
          <w:highlight w:val="none"/>
        </w:rPr>
        <w:t>万元</w:t>
      </w:r>
      <w:r>
        <w:rPr>
          <w:rFonts w:hint="eastAsia" w:ascii="宋体" w:hAnsi="宋体" w:cs="宋体"/>
          <w:color w:val="auto"/>
          <w:sz w:val="28"/>
          <w:szCs w:val="28"/>
          <w:highlight w:val="none"/>
        </w:rPr>
        <w:t>。</w:t>
      </w:r>
    </w:p>
    <w:p>
      <w:pPr>
        <w:adjustRightInd w:val="0"/>
        <w:snapToGrid w:val="0"/>
        <w:spacing w:line="46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标段二：</w:t>
      </w:r>
      <w:r>
        <w:rPr>
          <w:rFonts w:hint="eastAsia" w:ascii="宋体" w:hAnsi="宋体" w:cs="宋体"/>
          <w:color w:val="auto"/>
          <w:sz w:val="28"/>
          <w:szCs w:val="28"/>
          <w:highlight w:val="none"/>
        </w:rPr>
        <w:t>2022-2024年出版的以科技、经济、艺术、外语等类为主的中文正版正价书，</w:t>
      </w:r>
      <w:r>
        <w:rPr>
          <w:rFonts w:hint="eastAsia" w:ascii="宋体" w:hAnsi="宋体" w:eastAsia="宋体" w:cs="宋体"/>
          <w:color w:val="auto"/>
          <w:sz w:val="28"/>
          <w:szCs w:val="28"/>
          <w:highlight w:val="none"/>
        </w:rPr>
        <w:t>采购预算（实洋）为</w:t>
      </w:r>
      <w:r>
        <w:rPr>
          <w:rFonts w:hint="eastAsia" w:ascii="宋体" w:hAnsi="宋体" w:eastAsia="宋体" w:cs="宋体"/>
          <w:color w:val="auto"/>
          <w:sz w:val="28"/>
          <w:szCs w:val="28"/>
          <w:highlight w:val="none"/>
          <w:lang w:val="en-US" w:eastAsia="zh-CN"/>
        </w:rPr>
        <w:t>18</w:t>
      </w:r>
      <w:r>
        <w:rPr>
          <w:rFonts w:hint="eastAsia" w:ascii="宋体" w:hAnsi="宋体" w:eastAsia="宋体" w:cs="宋体"/>
          <w:color w:val="auto"/>
          <w:sz w:val="28"/>
          <w:szCs w:val="28"/>
          <w:highlight w:val="none"/>
        </w:rPr>
        <w:t>万元</w:t>
      </w:r>
      <w:r>
        <w:rPr>
          <w:rFonts w:hint="eastAsia" w:ascii="宋体" w:hAnsi="宋体" w:cs="宋体"/>
          <w:color w:val="auto"/>
          <w:sz w:val="28"/>
          <w:szCs w:val="28"/>
          <w:highlight w:val="none"/>
        </w:rPr>
        <w:t>；</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采购需求：</w:t>
      </w:r>
      <w:r>
        <w:rPr>
          <w:rFonts w:hint="eastAsia" w:ascii="宋体" w:hAnsi="宋体" w:cs="宋体"/>
          <w:color w:val="auto"/>
          <w:sz w:val="28"/>
          <w:szCs w:val="28"/>
          <w:highlight w:val="none"/>
          <w:lang w:val="en-US" w:eastAsia="zh-CN"/>
        </w:rPr>
        <w:t>本项目共两个标段：标段一 中文正版特价书；标段二 中文正版正价书，供应商可同时响应两个标段并可兼中，具体需求</w:t>
      </w:r>
      <w:r>
        <w:rPr>
          <w:rFonts w:hint="eastAsia" w:ascii="宋体" w:hAnsi="宋体" w:cs="宋体"/>
          <w:color w:val="auto"/>
          <w:sz w:val="28"/>
          <w:szCs w:val="28"/>
          <w:highlight w:val="none"/>
        </w:rPr>
        <w:t>详见招标文件</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请仔细研究</w:t>
      </w:r>
      <w:r>
        <w:rPr>
          <w:rFonts w:hint="eastAsia" w:ascii="宋体" w:hAnsi="宋体" w:cs="宋体"/>
          <w:color w:val="auto"/>
          <w:sz w:val="28"/>
          <w:szCs w:val="28"/>
          <w:highlight w:val="none"/>
        </w:rPr>
        <w:t>。</w:t>
      </w:r>
    </w:p>
    <w:p>
      <w:pPr>
        <w:spacing w:line="4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合同履行期限：</w:t>
      </w:r>
      <w:r>
        <w:rPr>
          <w:rFonts w:hint="eastAsia" w:ascii="宋体" w:hAnsi="宋体" w:cs="宋体"/>
          <w:color w:val="auto"/>
          <w:sz w:val="28"/>
          <w:szCs w:val="28"/>
          <w:highlight w:val="none"/>
          <w:lang w:val="en-US" w:eastAsia="zh-CN"/>
        </w:rPr>
        <w:t>一年。</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二、申请人的资格要求：</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满足以下条件：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adjustRightInd w:val="0"/>
        <w:snapToGrid w:val="0"/>
        <w:spacing w:line="460" w:lineRule="exact"/>
        <w:ind w:firstLine="560" w:firstLineChars="200"/>
        <w:rPr>
          <w:rFonts w:hint="eastAsia" w:ascii="宋体" w:hAnsi="宋体" w:cs="宋体"/>
          <w:color w:val="auto"/>
          <w:sz w:val="28"/>
          <w:szCs w:val="28"/>
          <w:highlight w:val="none"/>
          <w:lang w:val="zh-CN" w:eastAsia="zh-Hans"/>
        </w:rPr>
      </w:pP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lang w:eastAsia="zh-Hans"/>
        </w:rPr>
        <w:t>具有</w:t>
      </w:r>
      <w:r>
        <w:rPr>
          <w:rFonts w:hint="eastAsia" w:ascii="宋体" w:hAnsi="宋体" w:cs="宋体"/>
          <w:color w:val="auto"/>
          <w:sz w:val="28"/>
          <w:szCs w:val="28"/>
          <w:highlight w:val="none"/>
          <w:lang w:eastAsia="zh-CN"/>
        </w:rPr>
        <w:t>有效的</w:t>
      </w:r>
      <w:r>
        <w:rPr>
          <w:rFonts w:hint="eastAsia" w:ascii="宋体" w:hAnsi="宋体" w:cs="宋体"/>
          <w:color w:val="auto"/>
          <w:sz w:val="28"/>
          <w:szCs w:val="28"/>
          <w:highlight w:val="none"/>
        </w:rPr>
        <w:t>中华人民共和国</w:t>
      </w:r>
      <w:r>
        <w:rPr>
          <w:rFonts w:hint="eastAsia" w:ascii="宋体" w:hAnsi="宋体" w:cs="宋体"/>
          <w:color w:val="auto"/>
          <w:sz w:val="28"/>
          <w:szCs w:val="28"/>
          <w:highlight w:val="none"/>
          <w:lang w:val="zh-CN" w:eastAsia="zh-Hans"/>
        </w:rPr>
        <w:t>出版物经营许可证；</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3.提供法定代表人身份证明书及法人身份证复印件盖公章；非法定代表人参加的，另须提供法定代表人签名或盖章的授权委托书及投标代表本人身份证复印件盖公</w:t>
      </w:r>
      <w:r>
        <w:rPr>
          <w:rFonts w:hint="eastAsia" w:ascii="宋体" w:hAnsi="宋体" w:eastAsia="宋体" w:cs="宋体"/>
          <w:color w:val="auto"/>
          <w:sz w:val="28"/>
          <w:szCs w:val="28"/>
          <w:highlight w:val="none"/>
        </w:rPr>
        <w:t>章</w:t>
      </w:r>
      <w:r>
        <w:rPr>
          <w:rFonts w:hint="eastAsia" w:ascii="宋体" w:hAnsi="宋体" w:eastAsia="宋体" w:cs="宋体"/>
          <w:color w:val="auto"/>
          <w:sz w:val="28"/>
          <w:szCs w:val="28"/>
          <w:highlight w:val="none"/>
          <w:lang w:eastAsia="zh-CN"/>
        </w:rPr>
        <w:t>，被授权人为投标服务商正式人员证明材料【提供①与投标服务商签订的有效劳动合同复印件；②社保机构出具并盖章的投标供应商为其缴纳2023年</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lang w:eastAsia="zh-CN"/>
        </w:rPr>
        <w:t>月- 202</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 xml:space="preserve"> 年</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任意一个月</w:t>
      </w:r>
      <w:r>
        <w:rPr>
          <w:rFonts w:hint="eastAsia" w:ascii="宋体" w:hAnsi="宋体" w:eastAsia="宋体" w:cs="宋体"/>
          <w:color w:val="auto"/>
          <w:sz w:val="28"/>
          <w:szCs w:val="28"/>
          <w:highlight w:val="none"/>
          <w:lang w:eastAsia="zh-CN"/>
        </w:rPr>
        <w:t>的养老保险缴费清单复印件】</w:t>
      </w:r>
      <w:r>
        <w:rPr>
          <w:rFonts w:hint="eastAsia" w:ascii="宋体" w:hAnsi="宋体" w:cs="宋体"/>
          <w:color w:val="auto"/>
          <w:sz w:val="28"/>
          <w:szCs w:val="28"/>
          <w:highlight w:val="none"/>
        </w:rPr>
        <w:t>；</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4.本项目不接受联合体投标。</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三、获取招标文件</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时间：2024年0</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08</w:t>
      </w:r>
      <w:r>
        <w:rPr>
          <w:rFonts w:hint="eastAsia" w:ascii="宋体" w:hAnsi="宋体" w:cs="宋体"/>
          <w:color w:val="auto"/>
          <w:sz w:val="28"/>
          <w:szCs w:val="28"/>
          <w:highlight w:val="none"/>
        </w:rPr>
        <w:t>日至2024年0</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19</w:t>
      </w:r>
      <w:r>
        <w:rPr>
          <w:rFonts w:hint="eastAsia" w:ascii="宋体" w:hAnsi="宋体" w:cs="宋体"/>
          <w:color w:val="auto"/>
          <w:sz w:val="28"/>
          <w:szCs w:val="28"/>
          <w:highlight w:val="none"/>
        </w:rPr>
        <w:t>日</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地点：</w:t>
      </w:r>
      <w:r>
        <w:rPr>
          <w:rFonts w:hint="eastAsia" w:ascii="宋体" w:hAnsi="宋体" w:cs="宋体"/>
          <w:color w:val="auto"/>
          <w:sz w:val="28"/>
          <w:szCs w:val="28"/>
          <w:highlight w:val="none"/>
          <w:lang w:eastAsia="zh-CN"/>
        </w:rPr>
        <w:t>南通职业大学</w:t>
      </w:r>
      <w:r>
        <w:rPr>
          <w:rFonts w:hint="eastAsia" w:ascii="宋体" w:hAnsi="宋体" w:cs="宋体"/>
          <w:color w:val="auto"/>
          <w:sz w:val="28"/>
          <w:szCs w:val="28"/>
          <w:highlight w:val="none"/>
        </w:rPr>
        <w:t>网站</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方式：自行下载招标文件</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四、提交投标文件截止时间、开标时间和地点</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2024年04月19日14点00分（北京时间）。逾时，招标人将拒绝接受投标响应文件。</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地点：</w:t>
      </w:r>
      <w:r>
        <w:rPr>
          <w:rFonts w:hint="eastAsia" w:ascii="宋体" w:hAnsi="宋体" w:cs="宋体"/>
          <w:color w:val="auto"/>
          <w:sz w:val="28"/>
          <w:szCs w:val="28"/>
          <w:highlight w:val="none"/>
          <w:lang w:val="en-US" w:eastAsia="zh-CN"/>
        </w:rPr>
        <w:t>南通市崇川区海外联谊大厦2106室</w:t>
      </w:r>
      <w:r>
        <w:rPr>
          <w:rFonts w:hint="eastAsia" w:ascii="宋体" w:hAnsi="宋体" w:cs="宋体"/>
          <w:color w:val="auto"/>
          <w:sz w:val="28"/>
          <w:szCs w:val="28"/>
          <w:highlight w:val="none"/>
        </w:rPr>
        <w:t>，如有变动另行通知。</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五、公告期限</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自本公告发布之日起5个工作日。</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六、其他补充事宜</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1.投标保证金：免收</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2.项目开标活动模式：见面开标模式，投标供应商在南通市崇川区海外联谊大厦2106室参加开标会。</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3.项目演示：无。</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4.对项目需求部分（供应商资格要求、项目需求、商务技术评分标准）的询问、质疑请向招标人提出，由招标人负责答复；对项目招标文件其它部分的询问请向代理机构经办人提出。</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供应商应依照规定提交各类声明函、承诺函，不再同时提供原件备查或提供有关部门出具的相关证明文件。但中标供应商应做好提交声明函、承诺函、认证、业绩等相应原件的核查准备；核查后发现虚假或违背承诺的，依照相关法律法规规定处理。</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七、对本次招标提出询问，请按以下方式联系。</w:t>
      </w:r>
    </w:p>
    <w:p>
      <w:pPr>
        <w:shd w:val="clear" w:color="auto" w:fill="FFFFFF"/>
        <w:spacing w:line="460" w:lineRule="exact"/>
        <w:ind w:firstLine="588" w:firstLineChars="200"/>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1.招标人信息</w:t>
      </w:r>
    </w:p>
    <w:p>
      <w:pPr>
        <w:shd w:val="clear" w:color="auto" w:fill="FFFFFF"/>
        <w:spacing w:line="460" w:lineRule="exact"/>
        <w:ind w:firstLine="588" w:firstLineChars="200"/>
        <w:rPr>
          <w:rFonts w:hint="eastAsia" w:ascii="宋体" w:hAnsi="宋体" w:eastAsia="宋体" w:cs="宋体"/>
          <w:color w:val="auto"/>
          <w:spacing w:val="7"/>
          <w:sz w:val="28"/>
          <w:szCs w:val="28"/>
          <w:highlight w:val="none"/>
          <w:lang w:eastAsia="zh-CN"/>
        </w:rPr>
      </w:pPr>
      <w:bookmarkStart w:id="3" w:name="_Toc35393638"/>
      <w:bookmarkStart w:id="4" w:name="_Toc28359097"/>
      <w:bookmarkStart w:id="5" w:name="_Toc28359020"/>
      <w:bookmarkStart w:id="6" w:name="_Toc35393807"/>
      <w:r>
        <w:rPr>
          <w:rFonts w:hint="eastAsia" w:ascii="宋体" w:hAnsi="宋体" w:cs="宋体"/>
          <w:color w:val="auto"/>
          <w:spacing w:val="7"/>
          <w:sz w:val="28"/>
          <w:szCs w:val="28"/>
          <w:highlight w:val="none"/>
        </w:rPr>
        <w:t>名称：</w:t>
      </w:r>
      <w:r>
        <w:rPr>
          <w:rFonts w:hint="eastAsia" w:ascii="宋体" w:hAnsi="宋体" w:cs="宋体"/>
          <w:color w:val="auto"/>
          <w:spacing w:val="7"/>
          <w:sz w:val="28"/>
          <w:szCs w:val="28"/>
          <w:highlight w:val="none"/>
          <w:lang w:eastAsia="zh-CN"/>
        </w:rPr>
        <w:t>南通职业大学</w:t>
      </w:r>
    </w:p>
    <w:p>
      <w:pPr>
        <w:shd w:val="clear" w:color="auto" w:fill="FFFFFF"/>
        <w:spacing w:line="460" w:lineRule="exact"/>
        <w:ind w:firstLine="588" w:firstLineChars="200"/>
        <w:rPr>
          <w:rFonts w:hint="default" w:ascii="宋体" w:hAnsi="宋体" w:eastAsia="宋体" w:cs="宋体"/>
          <w:color w:val="auto"/>
          <w:spacing w:val="7"/>
          <w:sz w:val="28"/>
          <w:szCs w:val="28"/>
          <w:highlight w:val="none"/>
          <w:lang w:val="en-US" w:eastAsia="zh-CN"/>
        </w:rPr>
      </w:pPr>
      <w:r>
        <w:rPr>
          <w:rFonts w:hint="eastAsia" w:ascii="宋体" w:hAnsi="宋体" w:cs="宋体"/>
          <w:color w:val="auto"/>
          <w:spacing w:val="7"/>
          <w:sz w:val="28"/>
          <w:szCs w:val="28"/>
          <w:highlight w:val="none"/>
        </w:rPr>
        <w:t>联系人：</w:t>
      </w:r>
      <w:r>
        <w:rPr>
          <w:rFonts w:hint="eastAsia" w:ascii="宋体" w:hAnsi="宋体" w:cs="宋体"/>
          <w:color w:val="auto"/>
          <w:spacing w:val="7"/>
          <w:sz w:val="28"/>
          <w:szCs w:val="28"/>
          <w:highlight w:val="none"/>
          <w:lang w:val="en-US" w:eastAsia="zh-CN"/>
        </w:rPr>
        <w:t>丁老师  13515201826</w:t>
      </w:r>
    </w:p>
    <w:p>
      <w:pPr>
        <w:shd w:val="clear" w:color="auto" w:fill="FFFFFF"/>
        <w:spacing w:line="460" w:lineRule="exact"/>
        <w:ind w:firstLine="588" w:firstLineChars="200"/>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2.招标代理机构信息</w:t>
      </w:r>
      <w:bookmarkEnd w:id="3"/>
      <w:bookmarkEnd w:id="4"/>
      <w:bookmarkEnd w:id="5"/>
      <w:bookmarkEnd w:id="6"/>
    </w:p>
    <w:p>
      <w:pPr>
        <w:shd w:val="clear" w:color="auto" w:fill="FFFFFF"/>
        <w:spacing w:line="460" w:lineRule="exact"/>
        <w:ind w:firstLine="588" w:firstLineChars="200"/>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名称：江苏中润工程建设咨询有限公司</w:t>
      </w:r>
    </w:p>
    <w:p>
      <w:pPr>
        <w:shd w:val="clear" w:color="auto" w:fill="FFFFFF"/>
        <w:spacing w:line="460" w:lineRule="exact"/>
        <w:ind w:firstLine="588" w:firstLineChars="200"/>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地址：南通市崇川路58号</w:t>
      </w:r>
    </w:p>
    <w:p>
      <w:pPr>
        <w:shd w:val="clear" w:color="auto" w:fill="FFFFFF"/>
        <w:spacing w:line="460" w:lineRule="exact"/>
        <w:ind w:firstLine="588" w:firstLineChars="200"/>
        <w:rPr>
          <w:rFonts w:ascii="宋体" w:hAnsi="宋体" w:cs="宋体"/>
          <w:color w:val="auto"/>
          <w:spacing w:val="7"/>
          <w:sz w:val="28"/>
          <w:szCs w:val="28"/>
          <w:highlight w:val="none"/>
        </w:rPr>
      </w:pPr>
      <w:r>
        <w:rPr>
          <w:rFonts w:hint="eastAsia" w:ascii="宋体" w:hAnsi="宋体" w:cs="宋体"/>
          <w:color w:val="auto"/>
          <w:spacing w:val="7"/>
          <w:sz w:val="28"/>
          <w:szCs w:val="28"/>
          <w:highlight w:val="none"/>
        </w:rPr>
        <w:t>联系方式：王工0513-55887688 13906272111</w:t>
      </w:r>
    </w:p>
    <w:p>
      <w:pPr>
        <w:spacing w:line="800" w:lineRule="exact"/>
        <w:jc w:val="center"/>
        <w:rPr>
          <w:rFonts w:ascii="宋体" w:hAnsi="宋体" w:cs="宋体"/>
          <w:bCs/>
          <w:color w:val="auto"/>
          <w:sz w:val="36"/>
          <w:szCs w:val="36"/>
          <w:highlight w:val="none"/>
        </w:rPr>
      </w:pPr>
      <w:r>
        <w:rPr>
          <w:rFonts w:hint="eastAsia" w:ascii="宋体" w:hAnsi="宋体" w:cs="宋体"/>
          <w:bCs/>
          <w:color w:val="auto"/>
          <w:sz w:val="36"/>
          <w:szCs w:val="36"/>
          <w:highlight w:val="none"/>
        </w:rPr>
        <w:br w:type="page"/>
      </w:r>
      <w:r>
        <w:rPr>
          <w:rFonts w:hint="eastAsia" w:ascii="宋体" w:hAnsi="宋体" w:cs="宋体"/>
          <w:b/>
          <w:color w:val="auto"/>
          <w:sz w:val="36"/>
          <w:szCs w:val="36"/>
          <w:highlight w:val="none"/>
        </w:rPr>
        <w:t>第二部分  投标须知</w:t>
      </w:r>
    </w:p>
    <w:p>
      <w:pPr>
        <w:pStyle w:val="5"/>
        <w:adjustRightInd w:val="0"/>
        <w:snapToGrid w:val="0"/>
        <w:spacing w:before="0" w:after="0" w:line="420" w:lineRule="exact"/>
        <w:ind w:firstLine="562" w:firstLineChars="200"/>
        <w:rPr>
          <w:rFonts w:ascii="宋体" w:hAnsi="宋体" w:cs="宋体"/>
          <w:color w:val="auto"/>
          <w:sz w:val="28"/>
          <w:szCs w:val="28"/>
          <w:highlight w:val="none"/>
        </w:rPr>
      </w:pPr>
      <w:bookmarkStart w:id="7" w:name="_Toc16938519"/>
      <w:bookmarkStart w:id="8" w:name="_Toc120614214"/>
      <w:bookmarkStart w:id="9" w:name="_Toc20823275"/>
      <w:bookmarkStart w:id="10" w:name="_Toc513029203"/>
      <w:r>
        <w:rPr>
          <w:rFonts w:hint="eastAsia" w:ascii="宋体" w:hAnsi="宋体" w:cs="宋体"/>
          <w:color w:val="auto"/>
          <w:sz w:val="28"/>
          <w:szCs w:val="28"/>
          <w:highlight w:val="none"/>
        </w:rPr>
        <w:t>一、总则</w:t>
      </w:r>
      <w:bookmarkEnd w:id="7"/>
      <w:bookmarkEnd w:id="8"/>
      <w:bookmarkEnd w:id="9"/>
      <w:bookmarkEnd w:id="10"/>
    </w:p>
    <w:p>
      <w:pPr>
        <w:pStyle w:val="2"/>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11" w:name="_Hlt16619475"/>
      <w:bookmarkEnd w:id="11"/>
      <w:bookmarkStart w:id="12" w:name="_Toc458694821"/>
      <w:bookmarkStart w:id="13" w:name="_Toc20823276"/>
      <w:bookmarkStart w:id="14" w:name="_Toc16938520"/>
      <w:bookmarkStart w:id="15" w:name="_Toc513029204"/>
      <w:r>
        <w:rPr>
          <w:rFonts w:hint="eastAsia" w:ascii="宋体" w:hAnsi="宋体" w:eastAsia="宋体" w:cs="宋体"/>
          <w:color w:val="auto"/>
          <w:sz w:val="28"/>
          <w:szCs w:val="28"/>
          <w:highlight w:val="none"/>
        </w:rPr>
        <w:t>1</w:t>
      </w:r>
      <w:bookmarkEnd w:id="12"/>
      <w:r>
        <w:rPr>
          <w:rFonts w:hint="eastAsia" w:ascii="宋体" w:hAnsi="宋体" w:eastAsia="宋体" w:cs="宋体"/>
          <w:color w:val="auto"/>
          <w:sz w:val="28"/>
          <w:szCs w:val="28"/>
          <w:highlight w:val="none"/>
        </w:rPr>
        <w:t>.</w:t>
      </w:r>
      <w:bookmarkEnd w:id="13"/>
      <w:bookmarkEnd w:id="14"/>
      <w:bookmarkEnd w:id="15"/>
      <w:r>
        <w:rPr>
          <w:rFonts w:hint="eastAsia" w:ascii="宋体" w:hAnsi="宋体" w:eastAsia="宋体" w:cs="宋体"/>
          <w:color w:val="auto"/>
          <w:sz w:val="28"/>
          <w:szCs w:val="28"/>
          <w:highlight w:val="none"/>
          <w:lang w:eastAsia="zh-CN"/>
        </w:rPr>
        <w:t>招标人</w:t>
      </w:r>
      <w:r>
        <w:rPr>
          <w:rFonts w:hint="eastAsia" w:ascii="宋体" w:hAnsi="宋体" w:eastAsia="宋体" w:cs="宋体"/>
          <w:color w:val="auto"/>
          <w:sz w:val="28"/>
          <w:szCs w:val="28"/>
          <w:highlight w:val="none"/>
        </w:rPr>
        <w:t>式</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1.1 本次招标采取公开</w:t>
      </w:r>
      <w:r>
        <w:rPr>
          <w:rFonts w:hint="eastAsia" w:ascii="宋体" w:hAnsi="宋体" w:cs="宋体"/>
          <w:color w:val="auto"/>
          <w:sz w:val="28"/>
          <w:szCs w:val="28"/>
          <w:highlight w:val="none"/>
          <w:lang w:eastAsia="zh-CN"/>
        </w:rPr>
        <w:t>招标人</w:t>
      </w:r>
      <w:r>
        <w:rPr>
          <w:rFonts w:hint="eastAsia" w:ascii="宋体" w:hAnsi="宋体" w:cs="宋体"/>
          <w:color w:val="auto"/>
          <w:sz w:val="28"/>
          <w:szCs w:val="28"/>
          <w:highlight w:val="none"/>
        </w:rPr>
        <w:t>式，本招标文件仅适用于招标公告中所述项目。</w:t>
      </w:r>
    </w:p>
    <w:p>
      <w:pPr>
        <w:pStyle w:val="2"/>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16" w:name="_Toc513029205"/>
      <w:bookmarkStart w:id="17" w:name="_Toc16938521"/>
      <w:bookmarkStart w:id="18" w:name="_Toc20823277"/>
      <w:r>
        <w:rPr>
          <w:rFonts w:hint="eastAsia" w:ascii="宋体" w:hAnsi="宋体" w:eastAsia="宋体" w:cs="宋体"/>
          <w:color w:val="auto"/>
          <w:sz w:val="28"/>
          <w:szCs w:val="28"/>
          <w:highlight w:val="none"/>
        </w:rPr>
        <w:t>2.合格的投标人</w:t>
      </w:r>
      <w:bookmarkEnd w:id="16"/>
      <w:bookmarkEnd w:id="17"/>
      <w:bookmarkEnd w:id="18"/>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2.1满足招标公告中供应商的资格要求的规定。</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 满足本文件实质性条款的规定。</w:t>
      </w:r>
    </w:p>
    <w:p>
      <w:pPr>
        <w:pStyle w:val="2"/>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19" w:name="_Toc16938522"/>
      <w:bookmarkStart w:id="20" w:name="_Toc20823278"/>
      <w:bookmarkStart w:id="21" w:name="_Toc513029206"/>
      <w:r>
        <w:rPr>
          <w:rFonts w:hint="eastAsia" w:ascii="宋体" w:hAnsi="宋体" w:eastAsia="宋体" w:cs="宋体"/>
          <w:color w:val="auto"/>
          <w:sz w:val="28"/>
          <w:szCs w:val="28"/>
          <w:highlight w:val="none"/>
        </w:rPr>
        <w:t>3.适用法律</w:t>
      </w:r>
      <w:bookmarkEnd w:id="19"/>
      <w:bookmarkEnd w:id="20"/>
      <w:bookmarkEnd w:id="21"/>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3.1本次招标及由此产生的合同受中华人民共和国有关的法律法规制约和保护。</w:t>
      </w:r>
    </w:p>
    <w:p>
      <w:pPr>
        <w:pStyle w:val="2"/>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22" w:name="_Toc20823279"/>
      <w:bookmarkStart w:id="23" w:name="_Toc513029207"/>
      <w:bookmarkStart w:id="24" w:name="_Toc462564067"/>
      <w:bookmarkStart w:id="25" w:name="_Toc16938523"/>
      <w:r>
        <w:rPr>
          <w:rFonts w:hint="eastAsia" w:ascii="宋体" w:hAnsi="宋体" w:eastAsia="宋体" w:cs="宋体"/>
          <w:color w:val="auto"/>
          <w:sz w:val="28"/>
          <w:szCs w:val="28"/>
          <w:highlight w:val="none"/>
        </w:rPr>
        <w:t>4.投标费用</w:t>
      </w:r>
      <w:bookmarkEnd w:id="22"/>
      <w:bookmarkEnd w:id="23"/>
      <w:bookmarkEnd w:id="24"/>
      <w:bookmarkEnd w:id="25"/>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4.1本项目工本费</w:t>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rPr>
        <w:t>00元/份，于开标现场支付给采购代理机构，无论是否中标售后不退。</w:t>
      </w:r>
    </w:p>
    <w:p>
      <w:pPr>
        <w:spacing w:after="0" w:line="460" w:lineRule="exact"/>
        <w:ind w:firstLine="560" w:firstLineChars="200"/>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4.2本项目招标代理费收取标准以中标价为基准，乘以招标代理收费费率，评委费标准按南通市财政局通财购（2018）18号文执行，由成交供应商支付，投标供应商</w:t>
      </w:r>
      <w:r>
        <w:rPr>
          <w:rFonts w:hint="eastAsia" w:ascii="宋体" w:hAnsi="宋体" w:eastAsia="宋体" w:cs="宋体"/>
          <w:color w:val="auto"/>
          <w:sz w:val="28"/>
          <w:szCs w:val="28"/>
          <w:highlight w:val="none"/>
          <w:lang w:val="zh-CN"/>
        </w:rPr>
        <w:t>综合考虑在报价内（不单列）。</w:t>
      </w:r>
    </w:p>
    <w:p>
      <w:pPr>
        <w:spacing w:after="0" w:line="4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招标代理收费费率标准：</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9"/>
        <w:gridCol w:w="4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4239"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中标金额</w:t>
            </w:r>
          </w:p>
        </w:tc>
        <w:tc>
          <w:tcPr>
            <w:tcW w:w="4241"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招标代理收费费率</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超额累进</w:t>
            </w:r>
            <w:r>
              <w:rPr>
                <w:rFonts w:hint="eastAsia" w:ascii="宋体" w:hAnsi="宋体" w:eastAsia="宋体" w:cs="宋体"/>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239"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20</w:t>
            </w:r>
            <w:r>
              <w:rPr>
                <w:rFonts w:hint="eastAsia" w:ascii="宋体" w:hAnsi="宋体" w:eastAsia="宋体" w:cs="宋体"/>
                <w:color w:val="auto"/>
                <w:sz w:val="28"/>
                <w:szCs w:val="28"/>
                <w:highlight w:val="none"/>
              </w:rPr>
              <w:t>万元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不含</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以下</w:t>
            </w:r>
          </w:p>
        </w:tc>
        <w:tc>
          <w:tcPr>
            <w:tcW w:w="4241"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固定3000元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4239"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20万元（含）</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50</w:t>
            </w:r>
            <w:r>
              <w:rPr>
                <w:rFonts w:hint="eastAsia" w:ascii="宋体" w:hAnsi="宋体" w:eastAsia="宋体" w:cs="宋体"/>
                <w:color w:val="auto"/>
                <w:sz w:val="28"/>
                <w:szCs w:val="28"/>
                <w:highlight w:val="none"/>
              </w:rPr>
              <w:t>万元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不含</w:t>
            </w:r>
            <w:r>
              <w:rPr>
                <w:rFonts w:hint="eastAsia" w:ascii="宋体" w:hAnsi="宋体" w:eastAsia="宋体" w:cs="宋体"/>
                <w:color w:val="auto"/>
                <w:sz w:val="28"/>
                <w:szCs w:val="28"/>
                <w:highlight w:val="none"/>
                <w:lang w:eastAsia="zh-CN"/>
              </w:rPr>
              <w:t>）</w:t>
            </w:r>
          </w:p>
        </w:tc>
        <w:tc>
          <w:tcPr>
            <w:tcW w:w="4241"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4239"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50万元（含）-100万元（不含）</w:t>
            </w:r>
          </w:p>
        </w:tc>
        <w:tc>
          <w:tcPr>
            <w:tcW w:w="4241"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239"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100万元（含）以上</w:t>
            </w:r>
          </w:p>
        </w:tc>
        <w:tc>
          <w:tcPr>
            <w:tcW w:w="4241" w:type="dxa"/>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1.1%</w:t>
            </w:r>
          </w:p>
        </w:tc>
      </w:tr>
    </w:tbl>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eastAsia="宋体" w:cs="宋体"/>
          <w:color w:val="auto"/>
          <w:sz w:val="28"/>
          <w:szCs w:val="28"/>
          <w:highlight w:val="none"/>
          <w:lang w:val="zh-CN"/>
        </w:rPr>
        <w:t>代理费</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评委费</w:t>
      </w:r>
      <w:r>
        <w:rPr>
          <w:rFonts w:hint="eastAsia" w:ascii="宋体" w:hAnsi="宋体" w:eastAsia="宋体" w:cs="宋体"/>
          <w:color w:val="auto"/>
          <w:sz w:val="28"/>
          <w:szCs w:val="28"/>
          <w:highlight w:val="none"/>
          <w:lang w:val="zh-CN"/>
        </w:rPr>
        <w:t>定标后由中标候选人支付给代理机构。因中标人原因导致中标结果变更或取消中标资格等，代理费</w:t>
      </w:r>
      <w:r>
        <w:rPr>
          <w:rFonts w:hint="eastAsia" w:ascii="宋体" w:hAnsi="宋体" w:eastAsia="宋体" w:cs="宋体"/>
          <w:color w:val="auto"/>
          <w:sz w:val="28"/>
          <w:szCs w:val="28"/>
          <w:highlight w:val="none"/>
          <w:lang w:val="zh-CN" w:eastAsia="zh-CN"/>
        </w:rPr>
        <w:t>、</w:t>
      </w:r>
      <w:r>
        <w:rPr>
          <w:rFonts w:hint="eastAsia" w:ascii="宋体" w:hAnsi="宋体" w:eastAsia="宋体" w:cs="宋体"/>
          <w:color w:val="auto"/>
          <w:sz w:val="28"/>
          <w:szCs w:val="28"/>
          <w:highlight w:val="none"/>
          <w:lang w:val="en-US" w:eastAsia="zh-CN"/>
        </w:rPr>
        <w:t>评委费</w:t>
      </w:r>
      <w:r>
        <w:rPr>
          <w:rFonts w:hint="eastAsia" w:ascii="宋体" w:hAnsi="宋体" w:eastAsia="宋体" w:cs="宋体"/>
          <w:color w:val="auto"/>
          <w:sz w:val="28"/>
          <w:szCs w:val="28"/>
          <w:highlight w:val="none"/>
          <w:lang w:val="zh-CN"/>
        </w:rPr>
        <w:t>不予退还。</w:t>
      </w:r>
    </w:p>
    <w:p>
      <w:pPr>
        <w:pStyle w:val="2"/>
        <w:adjustRightInd w:val="0"/>
        <w:snapToGrid w:val="0"/>
        <w:spacing w:line="420" w:lineRule="exact"/>
        <w:ind w:firstLine="560" w:firstLineChars="200"/>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5.招标文件的约束力</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5.1</w:t>
      </w:r>
      <w:r>
        <w:rPr>
          <w:rFonts w:hint="eastAsia" w:ascii="宋体" w:hAnsi="宋体" w:cs="宋体"/>
          <w:color w:val="auto"/>
          <w:sz w:val="28"/>
          <w:szCs w:val="28"/>
          <w:highlight w:val="none"/>
        </w:rPr>
        <w:t xml:space="preserve"> 投标人一旦参加本项目采购活动，即被认为接受了本招标文件的规定和约束。</w:t>
      </w:r>
    </w:p>
    <w:p>
      <w:pPr>
        <w:pStyle w:val="2"/>
        <w:adjustRightInd w:val="0"/>
        <w:snapToGrid w:val="0"/>
        <w:spacing w:line="420" w:lineRule="exact"/>
        <w:ind w:firstLine="560" w:firstLineChars="20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6.招标文件的解释</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6.1</w:t>
      </w:r>
      <w:r>
        <w:rPr>
          <w:rFonts w:hint="eastAsia" w:ascii="宋体" w:hAnsi="宋体" w:cs="宋体"/>
          <w:color w:val="auto"/>
          <w:sz w:val="28"/>
          <w:szCs w:val="28"/>
          <w:highlight w:val="none"/>
        </w:rPr>
        <w:t>招标文件需求部分（供应商资格要求、项目需求、商务技术评分标准）由招标人解释，其它部分由代理机构解释。</w:t>
      </w:r>
    </w:p>
    <w:p>
      <w:pPr>
        <w:pStyle w:val="5"/>
        <w:adjustRightInd w:val="0"/>
        <w:snapToGrid w:val="0"/>
        <w:spacing w:before="0" w:after="0" w:line="420" w:lineRule="exact"/>
        <w:ind w:firstLine="562" w:firstLineChars="200"/>
        <w:rPr>
          <w:rFonts w:ascii="宋体" w:hAnsi="宋体" w:cs="宋体"/>
          <w:color w:val="auto"/>
          <w:sz w:val="28"/>
          <w:szCs w:val="28"/>
          <w:highlight w:val="none"/>
        </w:rPr>
      </w:pPr>
      <w:bookmarkStart w:id="26" w:name="_Toc20823281"/>
      <w:bookmarkStart w:id="27" w:name="_Toc16938525"/>
      <w:bookmarkStart w:id="28" w:name="_Toc120614215"/>
      <w:bookmarkStart w:id="29" w:name="_Toc513029209"/>
      <w:r>
        <w:rPr>
          <w:rFonts w:hint="eastAsia" w:ascii="宋体" w:hAnsi="宋体" w:cs="宋体"/>
          <w:color w:val="auto"/>
          <w:sz w:val="28"/>
          <w:szCs w:val="28"/>
          <w:highlight w:val="none"/>
        </w:rPr>
        <w:t>二、招标文件</w:t>
      </w:r>
      <w:bookmarkEnd w:id="26"/>
      <w:bookmarkEnd w:id="27"/>
      <w:bookmarkEnd w:id="28"/>
      <w:bookmarkEnd w:id="29"/>
    </w:p>
    <w:p>
      <w:pPr>
        <w:pStyle w:val="2"/>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30" w:name="_Toc20823282"/>
      <w:bookmarkStart w:id="31" w:name="_Toc513029210"/>
      <w:bookmarkStart w:id="32" w:name="_Toc16938526"/>
      <w:r>
        <w:rPr>
          <w:rFonts w:hint="eastAsia" w:ascii="宋体" w:hAnsi="宋体" w:eastAsia="宋体" w:cs="宋体"/>
          <w:color w:val="auto"/>
          <w:sz w:val="28"/>
          <w:szCs w:val="28"/>
          <w:highlight w:val="none"/>
        </w:rPr>
        <w:t>1.招标文件构成</w:t>
      </w:r>
      <w:bookmarkEnd w:id="30"/>
      <w:bookmarkEnd w:id="31"/>
      <w:bookmarkEnd w:id="32"/>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1.1</w:t>
      </w:r>
      <w:r>
        <w:rPr>
          <w:rFonts w:hint="eastAsia" w:ascii="宋体" w:hAnsi="宋体" w:cs="宋体"/>
          <w:color w:val="auto"/>
          <w:sz w:val="28"/>
          <w:szCs w:val="28"/>
          <w:highlight w:val="none"/>
        </w:rPr>
        <w:t xml:space="preserve"> 招标文件由以下部分组成：</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（1）招标邀请</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（2）投标须知</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（3）项目需求</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（4）开标和评标</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（5）投标文件组成</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（6）附件（如有）</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请仔细检查招标文件是否齐全，如有缺漏请立即与代理机构联系解决。</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1.2</w:t>
      </w:r>
      <w:r>
        <w:rPr>
          <w:rFonts w:hint="eastAsia" w:ascii="宋体" w:hAnsi="宋体" w:cs="宋体"/>
          <w:color w:val="auto"/>
          <w:sz w:val="28"/>
          <w:szCs w:val="28"/>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33" w:name="_Toc462564070"/>
      <w:bookmarkStart w:id="34" w:name="_Toc20823283"/>
      <w:bookmarkStart w:id="35" w:name="_Toc513029211"/>
      <w:bookmarkStart w:id="36" w:name="_Toc16938527"/>
      <w:r>
        <w:rPr>
          <w:rFonts w:hint="eastAsia" w:ascii="宋体" w:hAnsi="宋体" w:eastAsia="宋体" w:cs="宋体"/>
          <w:color w:val="auto"/>
          <w:sz w:val="28"/>
          <w:szCs w:val="28"/>
          <w:highlight w:val="none"/>
        </w:rPr>
        <w:t>2.招标文件的澄清</w:t>
      </w:r>
      <w:bookmarkEnd w:id="33"/>
      <w:bookmarkEnd w:id="34"/>
      <w:bookmarkEnd w:id="35"/>
      <w:bookmarkEnd w:id="36"/>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2.1</w:t>
      </w:r>
      <w:r>
        <w:rPr>
          <w:rFonts w:hint="eastAsia" w:ascii="宋体" w:hAnsi="宋体" w:cs="宋体"/>
          <w:color w:val="auto"/>
          <w:sz w:val="28"/>
          <w:szCs w:val="28"/>
          <w:highlight w:val="none"/>
        </w:rPr>
        <w:t xml:space="preserve"> 任何要求对招标文件进行澄清的投标人，应在投标截止期十日前按招标公告中的通讯地址，以书面形式通知招标人。招标人有权对发出的招标文件进行必要的澄清或修改</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2.2招标人视情组织答疑会</w:t>
      </w:r>
    </w:p>
    <w:p>
      <w:pPr>
        <w:pStyle w:val="2"/>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37" w:name="_Toc513029212"/>
      <w:bookmarkStart w:id="38" w:name="_Toc462564071"/>
      <w:bookmarkStart w:id="39" w:name="_Toc20823284"/>
      <w:bookmarkStart w:id="40" w:name="_Toc16938528"/>
      <w:r>
        <w:rPr>
          <w:rFonts w:hint="eastAsia" w:ascii="宋体" w:hAnsi="宋体" w:eastAsia="宋体" w:cs="宋体"/>
          <w:color w:val="auto"/>
          <w:sz w:val="28"/>
          <w:szCs w:val="28"/>
          <w:highlight w:val="none"/>
        </w:rPr>
        <w:t>3.招标文件的修改</w:t>
      </w:r>
      <w:bookmarkEnd w:id="37"/>
      <w:bookmarkEnd w:id="38"/>
      <w:bookmarkEnd w:id="39"/>
      <w:bookmarkEnd w:id="40"/>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3.1</w:t>
      </w:r>
      <w:r>
        <w:rPr>
          <w:rFonts w:hint="eastAsia" w:ascii="宋体" w:hAnsi="宋体" w:cs="宋体"/>
          <w:color w:val="auto"/>
          <w:sz w:val="28"/>
          <w:szCs w:val="28"/>
          <w:highlight w:val="none"/>
        </w:rPr>
        <w:t xml:space="preserve"> 在投标截止时间前，代理机构可以对招标文件进行修改。</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 xml:space="preserve">3.2 </w:t>
      </w:r>
      <w:r>
        <w:rPr>
          <w:rFonts w:hint="eastAsia" w:ascii="宋体" w:hAnsi="宋体" w:cs="宋体"/>
          <w:color w:val="auto"/>
          <w:sz w:val="28"/>
          <w:szCs w:val="28"/>
          <w:highlight w:val="none"/>
        </w:rPr>
        <w:t>代理机构有权按照法定的要求推迟投标截止日期和开标日期。</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 xml:space="preserve">3.3 </w:t>
      </w:r>
      <w:r>
        <w:rPr>
          <w:rFonts w:hint="eastAsia" w:ascii="宋体" w:hAnsi="宋体" w:cs="宋体"/>
          <w:color w:val="auto"/>
          <w:sz w:val="28"/>
          <w:szCs w:val="28"/>
          <w:highlight w:val="none"/>
        </w:rPr>
        <w:t>招标文件的修改将在</w:t>
      </w:r>
      <w:r>
        <w:rPr>
          <w:rFonts w:hint="eastAsia" w:ascii="宋体" w:hAnsi="宋体" w:cs="宋体"/>
          <w:color w:val="auto"/>
          <w:sz w:val="28"/>
          <w:szCs w:val="28"/>
          <w:highlight w:val="none"/>
          <w:lang w:eastAsia="zh-CN"/>
        </w:rPr>
        <w:t>南通职业大学</w:t>
      </w:r>
      <w:r>
        <w:rPr>
          <w:rFonts w:hint="eastAsia" w:ascii="宋体" w:hAnsi="宋体" w:cs="宋体"/>
          <w:color w:val="auto"/>
          <w:sz w:val="28"/>
          <w:szCs w:val="28"/>
          <w:highlight w:val="none"/>
        </w:rPr>
        <w:t>网站公布，补充文件将作为招标文件的组成部分，并对投标人具有约束力。</w:t>
      </w:r>
    </w:p>
    <w:p>
      <w:pPr>
        <w:pStyle w:val="5"/>
        <w:adjustRightInd w:val="0"/>
        <w:snapToGrid w:val="0"/>
        <w:spacing w:before="0" w:after="0" w:line="420" w:lineRule="exact"/>
        <w:ind w:firstLine="562" w:firstLineChars="200"/>
        <w:rPr>
          <w:rFonts w:ascii="宋体" w:hAnsi="宋体" w:cs="宋体"/>
          <w:color w:val="auto"/>
          <w:sz w:val="28"/>
          <w:szCs w:val="28"/>
          <w:highlight w:val="none"/>
        </w:rPr>
      </w:pPr>
      <w:bookmarkStart w:id="41" w:name="_Toc513029213"/>
      <w:bookmarkStart w:id="42" w:name="_Toc120614216"/>
      <w:bookmarkStart w:id="43" w:name="_Toc16938529"/>
      <w:bookmarkStart w:id="44" w:name="_Toc20823285"/>
      <w:bookmarkStart w:id="45" w:name="_Toc462564072"/>
      <w:r>
        <w:rPr>
          <w:rFonts w:hint="eastAsia" w:ascii="宋体" w:hAnsi="宋体" w:cs="宋体"/>
          <w:color w:val="auto"/>
          <w:sz w:val="28"/>
          <w:szCs w:val="28"/>
          <w:highlight w:val="none"/>
        </w:rPr>
        <w:t>三、投标文件的编制</w:t>
      </w:r>
      <w:bookmarkEnd w:id="41"/>
      <w:bookmarkEnd w:id="42"/>
      <w:bookmarkEnd w:id="43"/>
      <w:bookmarkEnd w:id="44"/>
      <w:bookmarkEnd w:id="45"/>
    </w:p>
    <w:p>
      <w:pPr>
        <w:pStyle w:val="2"/>
        <w:adjustRightInd w:val="0"/>
        <w:snapToGrid w:val="0"/>
        <w:spacing w:line="420" w:lineRule="exact"/>
        <w:ind w:firstLine="560" w:firstLineChars="200"/>
        <w:jc w:val="both"/>
        <w:rPr>
          <w:rFonts w:ascii="宋体" w:hAnsi="宋体" w:eastAsia="宋体" w:cs="宋体"/>
          <w:bCs/>
          <w:color w:val="auto"/>
          <w:sz w:val="28"/>
          <w:szCs w:val="28"/>
          <w:highlight w:val="none"/>
        </w:rPr>
      </w:pPr>
      <w:bookmarkStart w:id="46" w:name="_Toc20823286"/>
      <w:bookmarkStart w:id="47" w:name="_Toc513029214"/>
      <w:bookmarkStart w:id="48" w:name="_Toc16938530"/>
      <w:bookmarkStart w:id="49" w:name="_Toc462564073"/>
      <w:r>
        <w:rPr>
          <w:rFonts w:hint="eastAsia" w:ascii="宋体" w:hAnsi="宋体" w:eastAsia="宋体" w:cs="宋体"/>
          <w:color w:val="auto"/>
          <w:sz w:val="28"/>
          <w:szCs w:val="28"/>
          <w:highlight w:val="none"/>
        </w:rPr>
        <w:t>1.投标文件的语言及度量衡单位</w:t>
      </w:r>
      <w:bookmarkEnd w:id="46"/>
      <w:bookmarkEnd w:id="47"/>
      <w:bookmarkEnd w:id="48"/>
      <w:bookmarkEnd w:id="49"/>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1.1</w:t>
      </w:r>
      <w:r>
        <w:rPr>
          <w:rFonts w:hint="eastAsia" w:ascii="宋体" w:hAnsi="宋体" w:cs="宋体"/>
          <w:color w:val="auto"/>
          <w:sz w:val="28"/>
          <w:szCs w:val="28"/>
          <w:highlight w:val="none"/>
        </w:rPr>
        <w:t xml:space="preserve"> 投标人提交的投标文件以及投标人与代理机构就有关投标的所有来往通知、函件和文件均应使用</w:t>
      </w:r>
      <w:r>
        <w:rPr>
          <w:rFonts w:hint="eastAsia" w:ascii="宋体" w:hAnsi="宋体" w:cs="宋体"/>
          <w:bCs/>
          <w:color w:val="auto"/>
          <w:sz w:val="28"/>
          <w:szCs w:val="28"/>
          <w:highlight w:val="none"/>
        </w:rPr>
        <w:t>简体中文</w:t>
      </w:r>
      <w:r>
        <w:rPr>
          <w:rFonts w:hint="eastAsia" w:ascii="宋体" w:hAnsi="宋体" w:cs="宋体"/>
          <w:color w:val="auto"/>
          <w:sz w:val="28"/>
          <w:szCs w:val="28"/>
          <w:highlight w:val="none"/>
        </w:rPr>
        <w:t>。</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1.2</w:t>
      </w:r>
      <w:r>
        <w:rPr>
          <w:rFonts w:hint="eastAsia" w:ascii="宋体" w:hAnsi="宋体" w:cs="宋体"/>
          <w:color w:val="auto"/>
          <w:sz w:val="28"/>
          <w:szCs w:val="28"/>
          <w:highlight w:val="none"/>
        </w:rPr>
        <w:t xml:space="preserve"> 除技术性能另有规定外，投标文件所使用的度量衡单位，均须采用国家法定计量单位。</w:t>
      </w:r>
    </w:p>
    <w:p>
      <w:pPr>
        <w:pStyle w:val="2"/>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50" w:name="_Toc16938531"/>
      <w:bookmarkStart w:id="51" w:name="_Toc20823287"/>
      <w:bookmarkStart w:id="52" w:name="_Toc513029215"/>
      <w:bookmarkStart w:id="53" w:name="_Toc462564074"/>
      <w:r>
        <w:rPr>
          <w:rFonts w:hint="eastAsia" w:ascii="宋体" w:hAnsi="宋体" w:eastAsia="宋体" w:cs="宋体"/>
          <w:color w:val="auto"/>
          <w:sz w:val="28"/>
          <w:szCs w:val="28"/>
          <w:highlight w:val="none"/>
        </w:rPr>
        <w:t>2.投标文件构成</w:t>
      </w:r>
      <w:bookmarkEnd w:id="50"/>
      <w:bookmarkEnd w:id="51"/>
      <w:bookmarkEnd w:id="52"/>
      <w:bookmarkEnd w:id="53"/>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2.1</w:t>
      </w:r>
      <w:r>
        <w:rPr>
          <w:rFonts w:hint="eastAsia" w:ascii="宋体" w:hAnsi="宋体" w:cs="宋体"/>
          <w:color w:val="auto"/>
          <w:sz w:val="28"/>
          <w:szCs w:val="28"/>
          <w:highlight w:val="none"/>
        </w:rPr>
        <w:t xml:space="preserve"> 投标人编写的投标文件应包括资格审查文件、商务技术文件文件、价格文件、电子响应文件。供应商按“第五部分 投标文件组成”要求编写投标文件</w:t>
      </w:r>
    </w:p>
    <w:p>
      <w:pPr>
        <w:pStyle w:val="2"/>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54" w:name="_Hlt26670360"/>
      <w:bookmarkEnd w:id="54"/>
      <w:bookmarkStart w:id="55" w:name="_Hlt26954838"/>
      <w:bookmarkEnd w:id="55"/>
      <w:bookmarkStart w:id="56" w:name="_Hlt26668975"/>
      <w:bookmarkEnd w:id="56"/>
      <w:bookmarkStart w:id="57" w:name="_Toc14577360"/>
      <w:bookmarkStart w:id="58" w:name="_Toc49090511"/>
      <w:r>
        <w:rPr>
          <w:rFonts w:hint="eastAsia" w:ascii="宋体" w:hAnsi="宋体" w:eastAsia="宋体" w:cs="宋体"/>
          <w:color w:val="auto"/>
          <w:sz w:val="28"/>
          <w:szCs w:val="28"/>
          <w:highlight w:val="none"/>
        </w:rPr>
        <w:t>3.投标有效期</w:t>
      </w:r>
      <w:bookmarkEnd w:id="57"/>
      <w:bookmarkEnd w:id="58"/>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3.1投标有效期为代理机构规定的开标之日后</w:t>
      </w:r>
      <w:r>
        <w:rPr>
          <w:rFonts w:hint="eastAsia" w:ascii="宋体" w:hAnsi="宋体" w:cs="宋体"/>
          <w:b/>
          <w:color w:val="auto"/>
          <w:sz w:val="28"/>
          <w:szCs w:val="28"/>
          <w:highlight w:val="none"/>
          <w:u w:val="single"/>
        </w:rPr>
        <w:t>六十（60）天</w:t>
      </w:r>
      <w:r>
        <w:rPr>
          <w:rFonts w:hint="eastAsia" w:ascii="宋体" w:hAnsi="宋体" w:cs="宋体"/>
          <w:bCs/>
          <w:color w:val="auto"/>
          <w:sz w:val="28"/>
          <w:szCs w:val="28"/>
          <w:highlight w:val="none"/>
        </w:rPr>
        <w:t>。投标有效期比规定短的将被视为非响应性投标而予以拒绝。</w:t>
      </w:r>
    </w:p>
    <w:p>
      <w:pPr>
        <w:pStyle w:val="2"/>
        <w:adjustRightInd w:val="0"/>
        <w:snapToGrid w:val="0"/>
        <w:spacing w:line="420" w:lineRule="exact"/>
        <w:ind w:firstLine="560" w:firstLineChars="200"/>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4.投标有效期的延长</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4.1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w:t>
      </w:r>
      <w:r>
        <w:rPr>
          <w:rFonts w:hint="eastAsia" w:ascii="宋体" w:hAnsi="宋体" w:cs="宋体"/>
          <w:color w:val="auto"/>
          <w:sz w:val="28"/>
          <w:szCs w:val="28"/>
          <w:highlight w:val="none"/>
        </w:rPr>
        <w:t>受投标有效期约束的所有权利与义务均延长至新的有效期</w:t>
      </w:r>
      <w:r>
        <w:rPr>
          <w:rFonts w:hint="eastAsia" w:ascii="宋体" w:hAnsi="宋体" w:cs="宋体"/>
          <w:bCs/>
          <w:color w:val="auto"/>
          <w:sz w:val="28"/>
          <w:szCs w:val="28"/>
          <w:highlight w:val="none"/>
        </w:rPr>
        <w:t>。</w:t>
      </w:r>
    </w:p>
    <w:p>
      <w:pPr>
        <w:pStyle w:val="2"/>
        <w:adjustRightInd w:val="0"/>
        <w:snapToGrid w:val="0"/>
        <w:spacing w:line="420" w:lineRule="exact"/>
        <w:ind w:firstLine="560" w:firstLineChars="200"/>
        <w:jc w:val="both"/>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5.投标人资格要求</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5.1投标人应具备承担本项目的资格要求。</w:t>
      </w:r>
    </w:p>
    <w:p>
      <w:pPr>
        <w:pStyle w:val="5"/>
        <w:adjustRightInd w:val="0"/>
        <w:snapToGrid w:val="0"/>
        <w:spacing w:before="0" w:after="0" w:line="420" w:lineRule="exact"/>
        <w:ind w:firstLine="562" w:firstLineChars="200"/>
        <w:rPr>
          <w:rFonts w:ascii="宋体" w:hAnsi="宋体" w:cs="宋体"/>
          <w:color w:val="auto"/>
          <w:sz w:val="28"/>
          <w:szCs w:val="28"/>
          <w:highlight w:val="none"/>
        </w:rPr>
      </w:pPr>
      <w:bookmarkStart w:id="59" w:name="_Hlt26954852"/>
      <w:bookmarkEnd w:id="59"/>
      <w:bookmarkStart w:id="60" w:name="_Hlt26954739"/>
      <w:bookmarkEnd w:id="60"/>
      <w:bookmarkStart w:id="61" w:name="_Toc513029224"/>
      <w:bookmarkStart w:id="62" w:name="_Toc120614217"/>
      <w:bookmarkStart w:id="63" w:name="_Toc16938540"/>
      <w:bookmarkStart w:id="64" w:name="_Toc20823296"/>
      <w:r>
        <w:rPr>
          <w:rFonts w:hint="eastAsia" w:ascii="宋体" w:hAnsi="宋体" w:cs="宋体"/>
          <w:color w:val="auto"/>
          <w:sz w:val="28"/>
          <w:szCs w:val="28"/>
          <w:highlight w:val="none"/>
        </w:rPr>
        <w:t>四、投标文件的递交</w:t>
      </w:r>
      <w:bookmarkEnd w:id="61"/>
      <w:bookmarkEnd w:id="62"/>
      <w:bookmarkEnd w:id="63"/>
      <w:bookmarkEnd w:id="64"/>
    </w:p>
    <w:p>
      <w:pPr>
        <w:adjustRightInd w:val="0"/>
        <w:snapToGrid w:val="0"/>
        <w:spacing w:line="420" w:lineRule="exact"/>
        <w:ind w:firstLine="560" w:firstLineChars="200"/>
        <w:rPr>
          <w:rFonts w:hint="default" w:ascii="宋体" w:hAnsi="宋体" w:eastAsia="宋体" w:cs="宋体"/>
          <w:color w:val="auto"/>
          <w:kern w:val="0"/>
          <w:sz w:val="28"/>
          <w:szCs w:val="28"/>
          <w:highlight w:val="none"/>
          <w:lang w:val="en-US" w:eastAsia="zh-CN"/>
        </w:rPr>
      </w:pPr>
      <w:bookmarkStart w:id="65" w:name="_Toc513029226"/>
      <w:bookmarkStart w:id="66" w:name="_Toc16938542"/>
      <w:bookmarkStart w:id="67" w:name="_Toc20823298"/>
      <w:r>
        <w:rPr>
          <w:rFonts w:hint="eastAsia" w:ascii="宋体" w:hAnsi="宋体" w:cs="宋体"/>
          <w:color w:val="auto"/>
          <w:kern w:val="0"/>
          <w:sz w:val="28"/>
          <w:szCs w:val="28"/>
          <w:highlight w:val="none"/>
          <w:lang w:val="en-US" w:eastAsia="zh-CN"/>
        </w:rPr>
        <w:t>纸质投标文件资格审查文件和商务技术文件可合并提供，价格文件必须分标段密封。</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1.投标文件的组成</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1.1纸质投标文件分资格审查文件、商务技术文件、价格文件</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lang w:val="en-US" w:eastAsia="zh-CN"/>
        </w:rPr>
        <w:t>分标段</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rPr>
        <w:t>三部分内容。每一部分内容均须提供“一份正本、一份副本”纸质响应文件，须分别单独牢固装订，不得相互混淆，文件自编目录并连续标注页码，不得将内容拆开。价格文件不得出现于资格审查文件和商务技术文件中。</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1.2纸质响应文件分三个密封袋（箱）提交。其中：</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资格审查文件的正、副本纸质响应文件密封在一个单独的密封袋内；</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商务技术文件的正、副本纸质响应文件及图纸类（如需提供图纸等其它资料的话）等密封在一个单独的密封袋或密封箱内（如有A3大小的图纸类，可单独密封）；</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价格文件的正、副本纸质响应文件密封在一个单独的密封袋内。</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1.3纸质投标文件须采用A4纸（图纸等除外），正、副本须打印并由法定代表人或授权人签字并加盖单位印章。文件内容中不得行间插字、涂改、增删，如修补错漏处，须由投标文件签署人签字并加盖公章。</w:t>
      </w:r>
    </w:p>
    <w:p>
      <w:pPr>
        <w:adjustRightInd w:val="0"/>
        <w:snapToGrid w:val="0"/>
        <w:spacing w:line="420" w:lineRule="exact"/>
        <w:ind w:firstLine="562" w:firstLineChars="200"/>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注：凡是响应文件中涉及供应商资信认证、人员证书、业绩荣誉等复印件，和要求法定代表人或授权委托人签字，和以供应商名称落款并注明需要盖章的，均需相应盖章或签字。否则视为未按照采购文件要求盖章或签字。</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1.4.电子投标文件（一份，单独密封提交）</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本项目要求提供电子响应文件一份，电子响应文件的内容为资格审查文件、商务技术文件、价格文件文件打印盖章（或电子签章）后的响应文件的扫描件（资格审查文件、商务技术文件、价格文件需分别逐页连续扫描为三个独立的PDF文件），可以采取U盘、电子光盘两种方式中任意一种方式提交，需单独密封提交。</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电子响应文件内容应与提交的纸质响应文件内容一致。否则，由此产生的后果投标人自负。</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1.5响应文件密封后应标明响应文件项目名称、项目编号、边缝处加盖单位骑缝章或骑缝签字等关键信息，</w:t>
      </w:r>
      <w:r>
        <w:rPr>
          <w:rFonts w:hint="eastAsia" w:ascii="宋体" w:hAnsi="宋体" w:cs="宋体"/>
          <w:b/>
          <w:bCs/>
          <w:color w:val="auto"/>
          <w:kern w:val="0"/>
          <w:sz w:val="28"/>
          <w:szCs w:val="28"/>
          <w:highlight w:val="none"/>
        </w:rPr>
        <w:t>密封完好以不泄露投标文件内容为主要判断依据</w:t>
      </w:r>
      <w:r>
        <w:rPr>
          <w:rFonts w:hint="eastAsia" w:ascii="宋体" w:hAnsi="宋体" w:cs="宋体"/>
          <w:color w:val="auto"/>
          <w:kern w:val="0"/>
          <w:sz w:val="28"/>
          <w:szCs w:val="28"/>
          <w:highlight w:val="none"/>
        </w:rPr>
        <w:t>。</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1.6递交时间：供应商须在规定的响应文件接收截止时间前送达指定地点。供应商提交投标文件，即视为已响应参加政府采购活动。</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kern w:val="0"/>
          <w:sz w:val="28"/>
          <w:szCs w:val="28"/>
          <w:highlight w:val="none"/>
        </w:rPr>
        <w:t>友情提醒：代理机构将拒绝接收未按照招标文件要求密封的响应文件，拒绝接收在响应文件接收截止时间后递交的响应文件。</w:t>
      </w:r>
    </w:p>
    <w:p>
      <w:pPr>
        <w:adjustRightInd w:val="0"/>
        <w:snapToGrid w:val="0"/>
        <w:spacing w:line="42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2.投标截止日期</w:t>
      </w:r>
      <w:bookmarkEnd w:id="65"/>
      <w:bookmarkEnd w:id="66"/>
      <w:bookmarkEnd w:id="67"/>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2.1 供应商提交响应文件的时间不得迟于招标公告中规定的响应文件提交截止时间。</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供应商应充分考虑到交通路况、停车、疫情管控等风险因素，如因供应商自身原因造成的投标响应文件提交不成功由供应商自行承担全部责任。</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2.2</w:t>
      </w:r>
      <w:r>
        <w:rPr>
          <w:rFonts w:hint="eastAsia" w:ascii="宋体" w:hAnsi="宋体" w:cs="宋体"/>
          <w:bCs/>
          <w:color w:val="auto"/>
          <w:sz w:val="28"/>
          <w:szCs w:val="28"/>
          <w:highlight w:val="none"/>
        </w:rPr>
        <w:t>代理机构可以按照规定，通过修改招标文件酌情延长投标截止日期，在此情况下，投标人的所有权利和义务以及投标人受制的截止日期均应以延长后新的截止日期为准。</w:t>
      </w:r>
    </w:p>
    <w:p>
      <w:pPr>
        <w:pStyle w:val="2"/>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68" w:name="_Toc16938543"/>
      <w:bookmarkStart w:id="69" w:name="_Toc513029227"/>
      <w:bookmarkStart w:id="70" w:name="_Toc20823299"/>
      <w:r>
        <w:rPr>
          <w:rFonts w:hint="eastAsia" w:ascii="宋体" w:hAnsi="宋体" w:eastAsia="宋体" w:cs="宋体"/>
          <w:color w:val="auto"/>
          <w:sz w:val="28"/>
          <w:szCs w:val="28"/>
          <w:highlight w:val="none"/>
        </w:rPr>
        <w:t>3.投标文件</w:t>
      </w:r>
      <w:bookmarkEnd w:id="68"/>
      <w:bookmarkEnd w:id="69"/>
      <w:bookmarkEnd w:id="70"/>
      <w:r>
        <w:rPr>
          <w:rFonts w:hint="eastAsia" w:ascii="宋体" w:hAnsi="宋体" w:eastAsia="宋体" w:cs="宋体"/>
          <w:color w:val="auto"/>
          <w:sz w:val="28"/>
          <w:szCs w:val="28"/>
          <w:highlight w:val="none"/>
        </w:rPr>
        <w:t>的拒收</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3.1 代理机构拒绝接收在其规定的投标截止时间后提交的任何投标文件。</w:t>
      </w:r>
    </w:p>
    <w:p>
      <w:pPr>
        <w:pStyle w:val="2"/>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71" w:name="_Toc513029228"/>
      <w:bookmarkStart w:id="72" w:name="_Toc16938544"/>
      <w:bookmarkStart w:id="73" w:name="_Toc20823300"/>
      <w:r>
        <w:rPr>
          <w:rFonts w:hint="eastAsia" w:ascii="宋体" w:hAnsi="宋体" w:eastAsia="宋体" w:cs="宋体"/>
          <w:color w:val="auto"/>
          <w:sz w:val="28"/>
          <w:szCs w:val="28"/>
          <w:highlight w:val="none"/>
        </w:rPr>
        <w:t>4.投标文件的撤回和修改</w:t>
      </w:r>
      <w:bookmarkEnd w:id="71"/>
      <w:bookmarkEnd w:id="72"/>
      <w:bookmarkEnd w:id="73"/>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 响应文件的撤回</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4.1.1供应商可在响应文件提交截止时间前，书面撤回其投标响应文件。</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4.1.2 投标人撤回投标文件，则认为其不再参与本项目投标活动。</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4.2 投标文件的修改</w:t>
      </w:r>
    </w:p>
    <w:p>
      <w:pPr>
        <w:pStyle w:val="5"/>
        <w:adjustRightInd w:val="0"/>
        <w:snapToGrid w:val="0"/>
        <w:spacing w:before="0" w:after="0" w:line="420" w:lineRule="exact"/>
        <w:ind w:firstLine="560" w:firstLineChars="200"/>
        <w:rPr>
          <w:rFonts w:ascii="宋体" w:hAnsi="宋体" w:cs="宋体"/>
          <w:b w:val="0"/>
          <w:bCs w:val="0"/>
          <w:color w:val="auto"/>
          <w:sz w:val="28"/>
          <w:szCs w:val="28"/>
          <w:highlight w:val="none"/>
        </w:rPr>
      </w:pPr>
      <w:bookmarkStart w:id="74" w:name="_Toc120614218"/>
      <w:bookmarkStart w:id="75" w:name="_Toc513029229"/>
      <w:bookmarkStart w:id="76" w:name="_Toc16938545"/>
      <w:bookmarkStart w:id="77" w:name="_Toc20823301"/>
      <w:r>
        <w:rPr>
          <w:rFonts w:hint="eastAsia" w:ascii="宋体" w:hAnsi="宋体" w:cs="宋体"/>
          <w:b w:val="0"/>
          <w:bCs w:val="0"/>
          <w:color w:val="auto"/>
          <w:sz w:val="28"/>
          <w:szCs w:val="28"/>
          <w:highlight w:val="none"/>
        </w:rPr>
        <w:t>在响应文件提交截止时间之后，供应商不得再对其提交的响应文件进行修改。</w:t>
      </w:r>
    </w:p>
    <w:p>
      <w:pPr>
        <w:pStyle w:val="5"/>
        <w:adjustRightInd w:val="0"/>
        <w:snapToGrid w:val="0"/>
        <w:spacing w:before="0" w:after="0" w:line="420" w:lineRule="exact"/>
        <w:ind w:firstLine="562" w:firstLineChars="200"/>
        <w:rPr>
          <w:rFonts w:ascii="宋体" w:hAnsi="宋体" w:cs="宋体"/>
          <w:color w:val="auto"/>
          <w:sz w:val="28"/>
          <w:szCs w:val="28"/>
          <w:highlight w:val="none"/>
        </w:rPr>
      </w:pPr>
      <w:r>
        <w:rPr>
          <w:rFonts w:hint="eastAsia" w:ascii="宋体" w:hAnsi="宋体" w:cs="宋体"/>
          <w:color w:val="auto"/>
          <w:sz w:val="28"/>
          <w:szCs w:val="28"/>
          <w:highlight w:val="none"/>
        </w:rPr>
        <w:t>五、开标与评标</w:t>
      </w:r>
      <w:bookmarkEnd w:id="74"/>
      <w:bookmarkEnd w:id="75"/>
      <w:bookmarkEnd w:id="76"/>
      <w:bookmarkEnd w:id="77"/>
    </w:p>
    <w:p>
      <w:pPr>
        <w:pStyle w:val="2"/>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78" w:name="_Toc20823302"/>
      <w:bookmarkStart w:id="79" w:name="_Toc16938546"/>
      <w:bookmarkStart w:id="80" w:name="_Toc513029230"/>
      <w:r>
        <w:rPr>
          <w:rFonts w:hint="eastAsia" w:ascii="宋体" w:hAnsi="宋体" w:eastAsia="宋体" w:cs="宋体"/>
          <w:color w:val="auto"/>
          <w:sz w:val="28"/>
          <w:szCs w:val="28"/>
          <w:highlight w:val="none"/>
        </w:rPr>
        <w:t>1开标</w:t>
      </w:r>
      <w:bookmarkEnd w:id="78"/>
      <w:bookmarkEnd w:id="79"/>
      <w:bookmarkEnd w:id="80"/>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1.1 代理机构将在招标公告中规定的时间和地点组织公开开标。投标人应当按时在指定地点参加开标活动。</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1.2开标仪</w:t>
      </w:r>
      <w:r>
        <w:rPr>
          <w:rFonts w:hint="eastAsia" w:ascii="宋体" w:hAnsi="宋体" w:cs="宋体"/>
          <w:color w:val="auto"/>
          <w:sz w:val="28"/>
          <w:szCs w:val="28"/>
          <w:highlight w:val="none"/>
        </w:rPr>
        <w:t>式由代理机构组织。</w:t>
      </w:r>
    </w:p>
    <w:p>
      <w:pPr>
        <w:pStyle w:val="2"/>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81" w:name="_Toc20823303"/>
      <w:bookmarkStart w:id="82" w:name="_Toc16938547"/>
      <w:bookmarkStart w:id="83" w:name="_Toc513029231"/>
      <w:r>
        <w:rPr>
          <w:rFonts w:hint="eastAsia" w:ascii="宋体" w:hAnsi="宋体" w:eastAsia="宋体" w:cs="宋体"/>
          <w:color w:val="auto"/>
          <w:sz w:val="28"/>
          <w:szCs w:val="28"/>
          <w:highlight w:val="none"/>
        </w:rPr>
        <w:t>2评标委员会</w:t>
      </w:r>
    </w:p>
    <w:p>
      <w:pPr>
        <w:adjustRightInd w:val="0"/>
        <w:snapToGrid w:val="0"/>
        <w:spacing w:line="42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2.1开标后，代理机构将立即组织评标委员会（以下简称评委会）进行评标。</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 评委会由招标人代表和有关技术、经济等方面的专家组成，且人员构成符合政府采购有关规定。</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2.3评委会独立工作，负责评审所有投标文件并确定中标侯选人。</w:t>
      </w:r>
    </w:p>
    <w:p>
      <w:pPr>
        <w:pStyle w:val="2"/>
        <w:adjustRightInd w:val="0"/>
        <w:snapToGrid w:val="0"/>
        <w:spacing w:line="420" w:lineRule="exact"/>
        <w:ind w:firstLine="560" w:firstLineChars="200"/>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3.评标过程的保密与公正</w:t>
      </w:r>
    </w:p>
    <w:bookmarkEnd w:id="81"/>
    <w:bookmarkEnd w:id="82"/>
    <w:bookmarkEnd w:id="83"/>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3.1</w:t>
      </w:r>
      <w:r>
        <w:rPr>
          <w:rFonts w:hint="eastAsia" w:ascii="宋体" w:hAnsi="宋体" w:cs="宋体"/>
          <w:bCs/>
          <w:color w:val="auto"/>
          <w:sz w:val="28"/>
          <w:szCs w:val="28"/>
          <w:highlight w:val="none"/>
        </w:rPr>
        <w:t>公开开标后，直至向中标的投标人授予合同时止，凡是与审查、澄清、评价和比较投标的有关资料以及授标建议等，招标人、评委、代理机构均不得向投标人或与评标无关的其他人员透露。</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3.2在评标过程中，投标人不得以任何行为影响评标过程，否则其投标文件将被作为无效投标文件。</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3.3在评标期间，代理机构将设专门人员与投标人联系。</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3.4 代理机构和评标委员会不向未中标的投标人解释未中标原因，也不公布评标过程中的相关细节。</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3.5 采用综合评分法的项目，公布评标结果时一并公布所有投标人的评审得分及排序情况。</w:t>
      </w:r>
    </w:p>
    <w:p>
      <w:pPr>
        <w:pStyle w:val="2"/>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84" w:name="_Toc513029232"/>
      <w:bookmarkStart w:id="85" w:name="_Toc20823304"/>
      <w:bookmarkStart w:id="86" w:name="_Toc16938548"/>
      <w:r>
        <w:rPr>
          <w:rFonts w:hint="eastAsia" w:ascii="宋体" w:hAnsi="宋体" w:eastAsia="宋体" w:cs="宋体"/>
          <w:color w:val="auto"/>
          <w:sz w:val="28"/>
          <w:szCs w:val="28"/>
          <w:highlight w:val="none"/>
        </w:rPr>
        <w:t>4.投标的澄清</w:t>
      </w:r>
      <w:bookmarkEnd w:id="84"/>
      <w:bookmarkEnd w:id="85"/>
      <w:bookmarkEnd w:id="86"/>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4.1评标期间，为有助于对投标文件的审查、评价和比较，评委会有权要求投标人对其投标文件进行澄清，但并非对每个投标人都作澄清要求。</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4.2接到评委会澄清要求的投标人应按评委会规定的时间和格式做出澄清，澄清的内容作为投标文件的补充部分，但投标的价格和实质性的内容不得做任何更改。</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4.3 接到评委会澄清要求的投标人如未按规定做出澄清，其风险由投标人自行承担。</w:t>
      </w:r>
    </w:p>
    <w:p>
      <w:pPr>
        <w:pStyle w:val="2"/>
        <w:adjustRightInd w:val="0"/>
        <w:snapToGrid w:val="0"/>
        <w:spacing w:line="420" w:lineRule="exact"/>
        <w:ind w:firstLine="560" w:firstLineChars="200"/>
        <w:jc w:val="both"/>
        <w:rPr>
          <w:rFonts w:ascii="宋体" w:hAnsi="宋体" w:eastAsia="宋体" w:cs="宋体"/>
          <w:b/>
          <w:bCs/>
          <w:color w:val="auto"/>
          <w:sz w:val="28"/>
          <w:szCs w:val="28"/>
          <w:highlight w:val="none"/>
        </w:rPr>
      </w:pPr>
      <w:bookmarkStart w:id="87" w:name="_Toc513029233"/>
      <w:bookmarkStart w:id="88" w:name="_Toc16938549"/>
      <w:bookmarkStart w:id="89" w:name="_Toc20823305"/>
      <w:r>
        <w:rPr>
          <w:rFonts w:hint="eastAsia" w:ascii="宋体" w:hAnsi="宋体" w:eastAsia="宋体" w:cs="宋体"/>
          <w:color w:val="auto"/>
          <w:sz w:val="28"/>
          <w:szCs w:val="28"/>
          <w:highlight w:val="none"/>
        </w:rPr>
        <w:t>5对投标文件的初审</w:t>
      </w:r>
      <w:bookmarkEnd w:id="87"/>
      <w:bookmarkEnd w:id="88"/>
      <w:bookmarkEnd w:id="89"/>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5.1</w:t>
      </w:r>
      <w:r>
        <w:rPr>
          <w:rFonts w:hint="eastAsia" w:ascii="宋体" w:hAnsi="宋体" w:cs="宋体"/>
          <w:bCs/>
          <w:color w:val="auto"/>
          <w:sz w:val="28"/>
          <w:szCs w:val="28"/>
          <w:highlight w:val="none"/>
        </w:rPr>
        <w:t>投标文件初审分为资格审查和符合性审查。</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5.1.1 资格审查：依据法律法规和招标文件的规定，由招标人对投标文件中的资格证明文件进行审查。</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5.1.2 符合性审查：依据招标文件的规定，由评委会从投标文件的有效性、完整性和对招标文件的响应程度进行审查，以确定是否对招标文件的实质性要求作出响应。</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5.1.3 未通过资格审查或符合性审查的投标人，代理机构将告知未通过资格审查或符合性审查的原因。</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5.2在详细评标之前，评委会将首先审查每份投标文件是否实质性响应了招标文件的要求。实质性响应的投标应该是与招标文件要求的全部条款、条件和规格相符，没有重大偏离或保留的投标。</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cs="宋体"/>
          <w:bCs/>
          <w:color w:val="auto"/>
          <w:sz w:val="28"/>
          <w:szCs w:val="28"/>
          <w:highlight w:val="none"/>
        </w:rPr>
        <w:t>评委决定投标文件的响应性只根据投标文件本身的内容，而不寻求外部的证据。</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5.3</w:t>
      </w:r>
      <w:r>
        <w:rPr>
          <w:rFonts w:hint="eastAsia" w:ascii="宋体" w:hAnsi="宋体" w:cs="宋体"/>
          <w:bCs/>
          <w:color w:val="auto"/>
          <w:sz w:val="28"/>
          <w:szCs w:val="28"/>
          <w:highlight w:val="none"/>
        </w:rPr>
        <w:t>如果投标文件实质上没有响应招标文件的要求，评委会将予以拒绝，投标人不得通过修改或撤销不合要求的偏离或保留而使其投标成为实质性响应的投标。</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5.4</w:t>
      </w:r>
      <w:r>
        <w:rPr>
          <w:rFonts w:hint="eastAsia" w:ascii="宋体" w:hAnsi="宋体" w:cs="宋体"/>
          <w:bCs/>
          <w:color w:val="auto"/>
          <w:sz w:val="28"/>
          <w:szCs w:val="28"/>
          <w:highlight w:val="none"/>
        </w:rPr>
        <w:t>评委会将对确定为实质性响应的投标进行进一步审核，看其是否有计算上或累加上的算术错误，修正错误的原则如下：</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（1）投标文件中开标一览表内容与投标文件中相应内容不一致的，以开标一览表为准。</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（2）大写金额和小写金额不一致的，以大写金额为准。</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（3）单价金额小数点或者百分比有明显错位的，以开标一览表的总价为准，并修改单价。</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（4）总价金额与按单价汇总金额不一致的，以单价金额计算结果为准。</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同时出现两种以上错误的，按照前款规定的顺序修正。</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5.5</w:t>
      </w:r>
      <w:r>
        <w:rPr>
          <w:rFonts w:hint="eastAsia" w:ascii="宋体" w:hAnsi="宋体" w:cs="宋体"/>
          <w:bCs/>
          <w:color w:val="auto"/>
          <w:sz w:val="28"/>
          <w:szCs w:val="28"/>
          <w:highlight w:val="none"/>
        </w:rPr>
        <w:t>评委会将按上述修正错误的方法调整投标文件中的投标报价，并告知投标人，调整后的价格应对投标人具有约束力。如果投标人不接受修正后的价格，则其投标将被拒绝。</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5.6</w:t>
      </w:r>
      <w:r>
        <w:rPr>
          <w:rFonts w:hint="eastAsia" w:ascii="宋体" w:hAnsi="宋体" w:cs="宋体"/>
          <w:bCs/>
          <w:color w:val="auto"/>
          <w:sz w:val="28"/>
          <w:szCs w:val="28"/>
          <w:highlight w:val="none"/>
        </w:rPr>
        <w:t>评委会将允许修正投标文件中不构成重大偏离的、微小的、非正规的、不一致的或不规则的地方，但这些修改不能影响任何投标人相应的名次排列。</w:t>
      </w:r>
    </w:p>
    <w:p>
      <w:pPr>
        <w:adjustRightInd w:val="0"/>
        <w:snapToGrid w:val="0"/>
        <w:spacing w:line="420" w:lineRule="exact"/>
        <w:ind w:firstLine="560" w:firstLineChars="200"/>
        <w:rPr>
          <w:rFonts w:ascii="宋体" w:hAnsi="宋体" w:cs="宋体"/>
          <w:color w:val="auto"/>
          <w:sz w:val="28"/>
          <w:szCs w:val="28"/>
          <w:highlight w:val="none"/>
        </w:rPr>
      </w:pPr>
      <w:bookmarkStart w:id="90" w:name="_Toc20823306"/>
      <w:bookmarkStart w:id="91" w:name="_Toc513029234"/>
      <w:bookmarkStart w:id="92" w:name="_Toc16938550"/>
      <w:r>
        <w:rPr>
          <w:rFonts w:hint="eastAsia" w:ascii="宋体" w:hAnsi="宋体" w:cs="宋体"/>
          <w:color w:val="auto"/>
          <w:sz w:val="28"/>
          <w:szCs w:val="28"/>
          <w:highlight w:val="none"/>
        </w:rPr>
        <w:t>5.7投标人在开、评标全过程中应保持通讯畅通，并安排专人与代理机构及评标委员会联系。</w:t>
      </w:r>
    </w:p>
    <w:bookmarkEnd w:id="90"/>
    <w:bookmarkEnd w:id="91"/>
    <w:bookmarkEnd w:id="92"/>
    <w:p>
      <w:pPr>
        <w:pStyle w:val="2"/>
        <w:adjustRightInd w:val="0"/>
        <w:snapToGrid w:val="0"/>
        <w:spacing w:line="420" w:lineRule="exact"/>
        <w:ind w:firstLine="560" w:firstLineChars="200"/>
        <w:jc w:val="both"/>
        <w:rPr>
          <w:rFonts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6.无效投标条款和废标条款</w:t>
      </w:r>
    </w:p>
    <w:p>
      <w:pPr>
        <w:tabs>
          <w:tab w:val="left" w:pos="6555"/>
          <w:tab w:val="right" w:pos="8306"/>
        </w:tabs>
        <w:adjustRightInd w:val="0"/>
        <w:snapToGrid w:val="0"/>
        <w:spacing w:line="420" w:lineRule="exact"/>
        <w:ind w:firstLine="560" w:firstLineChars="200"/>
        <w:rPr>
          <w:rFonts w:ascii="宋体" w:hAnsi="宋体" w:cs="宋体"/>
          <w:b/>
          <w:color w:val="auto"/>
          <w:sz w:val="28"/>
          <w:szCs w:val="28"/>
          <w:highlight w:val="none"/>
        </w:rPr>
      </w:pPr>
      <w:bookmarkStart w:id="93" w:name="_Toc20823307"/>
      <w:bookmarkStart w:id="94" w:name="_Toc513029235"/>
      <w:bookmarkStart w:id="95" w:name="_Toc16938551"/>
      <w:r>
        <w:rPr>
          <w:rFonts w:hint="eastAsia" w:ascii="宋体" w:hAnsi="宋体" w:cs="宋体"/>
          <w:bCs/>
          <w:color w:val="auto"/>
          <w:sz w:val="28"/>
          <w:szCs w:val="28"/>
          <w:highlight w:val="none"/>
        </w:rPr>
        <w:t>6.1出现下列情形之一的，作无效响应处理。</w:t>
      </w:r>
      <w:r>
        <w:rPr>
          <w:rFonts w:hint="eastAsia" w:ascii="宋体" w:hAnsi="宋体" w:cs="宋体"/>
          <w:bCs/>
          <w:color w:val="auto"/>
          <w:sz w:val="28"/>
          <w:szCs w:val="28"/>
          <w:highlight w:val="none"/>
        </w:rPr>
        <w:tab/>
      </w:r>
      <w:r>
        <w:rPr>
          <w:rFonts w:hint="eastAsia" w:ascii="宋体" w:hAnsi="宋体" w:cs="宋体"/>
          <w:b/>
          <w:color w:val="auto"/>
          <w:sz w:val="28"/>
          <w:szCs w:val="28"/>
          <w:highlight w:val="none"/>
        </w:rPr>
        <w:tab/>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6.1.1供应商在规定的时间内未成功提交响应文件的。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6.1.2未完整提交响应文件的。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6.1.3同一投标人提交两个（含两个）以上不同的响应报价的。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6.1.4不具备招标文件中规定的资格要求的。 </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6.1.5未通过符合性检查的。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6.1.6不符合法律、法规和招标文件中规定的其他实质性要求的。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6.1.7供应商被 “信用中国”网站（www.creditchina.gov.cn）列入失信被执行人或重大税收违法案件当事人名单或采购严重失信行为记录名单，或查询“信用中国”网站后发现供应商存在其他不符合合格投标人资格条件的信用记录。</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6.1.8响应文件含有招标人不能接受的附加条件的。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6.1.9评标小组认为投标人的报价明显低于其他通过符合性审查供应商的报价，有可能影响产品质量或者不能诚信履约的，将要求其在合理的时间内提供说明，必要时提交相关证明材料；投标人不能证明其报价合理性的，评标小组应当将其作为无效响应处理。</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6.1.10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6.1.11响应文件未按照招标文件要求盖章、密封的。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6.1.12投标人的商务技术部分得分相差悬殊，评标委员会认为得分畸低者没有实质性响应的。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6.1.13其他法律、法规及本招标文件规定的属无效响应的情形。</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6.2废标条款：</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6.2.1符合专业条件的供应商或者对招标文件作实质响应的供应商不足三家的。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6.2.2出现影响采购公正的违法、违规行为的。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6.2.3因重大变故，采购任务取消的。</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6.2.4评标委员会认定招标文件存在歧义、重大缺陷导致评审工作无法进行。</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6.2.5 因系统故障原因造成开评标无法继续进行的（适用于不见面开标模式）。</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6.3 投标截止时间结束后参加投标的供应商不足三家的处理：</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6.3.1如出现投标截止时间结束后参加投标的供应商或者在评标期间对招标文件做出实质响应的供应商不足三家情况，按政府采购相关规定执行。</w:t>
      </w:r>
    </w:p>
    <w:bookmarkEnd w:id="93"/>
    <w:bookmarkEnd w:id="94"/>
    <w:bookmarkEnd w:id="95"/>
    <w:p>
      <w:pPr>
        <w:pStyle w:val="5"/>
        <w:adjustRightInd w:val="0"/>
        <w:snapToGrid w:val="0"/>
        <w:spacing w:before="0" w:after="0" w:line="420" w:lineRule="exact"/>
        <w:ind w:firstLine="562" w:firstLineChars="200"/>
        <w:rPr>
          <w:rFonts w:ascii="宋体" w:hAnsi="宋体" w:cs="宋体"/>
          <w:color w:val="auto"/>
          <w:sz w:val="28"/>
          <w:szCs w:val="28"/>
          <w:highlight w:val="none"/>
        </w:rPr>
      </w:pPr>
      <w:bookmarkStart w:id="96" w:name="_Toc120614219"/>
      <w:r>
        <w:rPr>
          <w:rFonts w:hint="eastAsia" w:ascii="宋体" w:hAnsi="宋体" w:cs="宋体"/>
          <w:color w:val="auto"/>
          <w:sz w:val="28"/>
          <w:szCs w:val="28"/>
          <w:highlight w:val="none"/>
        </w:rPr>
        <w:t>六、定标</w:t>
      </w:r>
      <w:bookmarkEnd w:id="96"/>
    </w:p>
    <w:p>
      <w:pPr>
        <w:pStyle w:val="2"/>
        <w:adjustRightInd w:val="0"/>
        <w:snapToGrid w:val="0"/>
        <w:spacing w:line="420" w:lineRule="exact"/>
        <w:ind w:firstLine="560" w:firstLineChars="200"/>
        <w:jc w:val="both"/>
        <w:rPr>
          <w:rFonts w:ascii="宋体" w:hAnsi="宋体" w:eastAsia="宋体" w:cs="宋体"/>
          <w:b/>
          <w:color w:val="auto"/>
          <w:sz w:val="28"/>
          <w:szCs w:val="28"/>
          <w:highlight w:val="none"/>
        </w:rPr>
      </w:pPr>
      <w:bookmarkStart w:id="97" w:name="_Toc20823310"/>
      <w:bookmarkStart w:id="98" w:name="_Toc16938554"/>
      <w:r>
        <w:rPr>
          <w:rFonts w:hint="eastAsia" w:ascii="宋体" w:hAnsi="宋体" w:eastAsia="宋体" w:cs="宋体"/>
          <w:color w:val="auto"/>
          <w:sz w:val="28"/>
          <w:szCs w:val="28"/>
          <w:highlight w:val="none"/>
        </w:rPr>
        <w:t>1.确定</w:t>
      </w:r>
      <w:bookmarkEnd w:id="97"/>
      <w:bookmarkEnd w:id="98"/>
      <w:r>
        <w:rPr>
          <w:rFonts w:hint="eastAsia" w:ascii="宋体" w:hAnsi="宋体" w:eastAsia="宋体" w:cs="宋体"/>
          <w:color w:val="auto"/>
          <w:sz w:val="28"/>
          <w:szCs w:val="28"/>
          <w:highlight w:val="none"/>
        </w:rPr>
        <w:t>中标单位</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1.1中标候选人的选取原则和数量见招标文件第四部分规定。 </w:t>
      </w:r>
    </w:p>
    <w:p>
      <w:pPr>
        <w:adjustRightInd w:val="0"/>
        <w:snapToGrid w:val="0"/>
        <w:spacing w:line="42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1.2招标人授权评委会在中标候选人中直接确定中标人。</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1.3</w:t>
      </w:r>
      <w:r>
        <w:rPr>
          <w:rFonts w:hint="eastAsia" w:ascii="宋体" w:hAnsi="宋体" w:cs="宋体"/>
          <w:color w:val="auto"/>
          <w:sz w:val="28"/>
          <w:szCs w:val="28"/>
          <w:highlight w:val="none"/>
        </w:rPr>
        <w:t>代理机构将在“</w:t>
      </w:r>
      <w:r>
        <w:rPr>
          <w:rFonts w:hint="eastAsia" w:ascii="宋体" w:hAnsi="宋体" w:cs="宋体"/>
          <w:color w:val="auto"/>
          <w:sz w:val="28"/>
          <w:szCs w:val="28"/>
          <w:highlight w:val="none"/>
          <w:lang w:eastAsia="zh-CN"/>
        </w:rPr>
        <w:t>南通职业大学</w:t>
      </w:r>
      <w:r>
        <w:rPr>
          <w:rFonts w:hint="eastAsia" w:ascii="宋体" w:hAnsi="宋体" w:cs="宋体"/>
          <w:color w:val="auto"/>
          <w:sz w:val="28"/>
          <w:szCs w:val="28"/>
          <w:highlight w:val="none"/>
        </w:rPr>
        <w:t>网站”发布中标公告，公告期限为1个工作日。</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1.4若有充分证据证明，中标人出现下列情况之一的，一经查实，将被取消中标资格：</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1.4.1提供虚假材料谋取中标的。</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1.4.2向招标人、代理机构行贿或者提供其他不正当利益的。</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1.4.3恶意竞争，投标总报价明显低于其自身合理成本且又无法提供证明的。</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1.4.4属于本文件规定的无效条件，但在评标过程中又未被评委会发现的。</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1.4.5与招标人或者其他供应商恶意串通的。</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1.4.6采取不正当手段诋毁、排挤其他供应商的。</w:t>
      </w:r>
    </w:p>
    <w:p>
      <w:pPr>
        <w:adjustRightInd w:val="0"/>
        <w:snapToGrid w:val="0"/>
        <w:spacing w:line="420" w:lineRule="exact"/>
        <w:ind w:firstLine="560" w:firstLineChars="200"/>
        <w:rPr>
          <w:rFonts w:ascii="宋体" w:hAnsi="宋体" w:cs="宋体"/>
          <w:color w:val="auto"/>
          <w:sz w:val="28"/>
          <w:szCs w:val="28"/>
          <w:highlight w:val="none"/>
        </w:rPr>
      </w:pPr>
      <w:bookmarkStart w:id="99" w:name="_Toc200451960"/>
      <w:r>
        <w:rPr>
          <w:rFonts w:hint="eastAsia" w:ascii="宋体" w:hAnsi="宋体" w:cs="宋体"/>
          <w:color w:val="auto"/>
          <w:sz w:val="28"/>
          <w:szCs w:val="28"/>
          <w:highlight w:val="none"/>
        </w:rPr>
        <w:t>1.5.</w:t>
      </w:r>
      <w:r>
        <w:rPr>
          <w:rFonts w:hint="eastAsia" w:ascii="宋体" w:hAnsi="宋体" w:cs="宋体"/>
          <w:color w:val="auto"/>
          <w:kern w:val="0"/>
          <w:sz w:val="28"/>
          <w:szCs w:val="28"/>
          <w:highlight w:val="none"/>
        </w:rPr>
        <w:t>有下列情形之一的，视为投标人串通投标，投标无效：</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1.5.1不同投标人的投标文件由同一单位或者个人编制；</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1.5.2不同投标人委托同一单位或者个人办理投标事宜；</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1.5.3不同投标人的投标文件载明的项目管理成员或者联系人员为同一人；</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1.5.4不同投标人的投标文件异常一致或者投标报价呈规律性差异；</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1.5.5不同投标人的投标文件相互混装；</w:t>
      </w:r>
    </w:p>
    <w:p>
      <w:pPr>
        <w:pStyle w:val="2"/>
        <w:adjustRightInd w:val="0"/>
        <w:snapToGrid w:val="0"/>
        <w:spacing w:line="420" w:lineRule="exact"/>
        <w:ind w:firstLine="560" w:firstLineChars="200"/>
        <w:jc w:val="both"/>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2.质疑处理</w:t>
      </w:r>
      <w:bookmarkEnd w:id="99"/>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 提出质疑的供应商应当是参与所质疑项目采购活动的供应商。潜在供应商依法获取其可质疑的采购文件的，可以对采购文件提出质疑。</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2.2供应商认为采购文件、采购过程和采购结果使自己的权益受到损害的，可以在知道或应知其权益受到损害之日起七个工作日内，以书面形式向代理机构或招标人提出质疑。上述应知其权益受到损害之日，是指：</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sz w:val="28"/>
          <w:szCs w:val="28"/>
          <w:highlight w:val="none"/>
        </w:rPr>
        <w:t>2.2.1</w:t>
      </w:r>
      <w:r>
        <w:rPr>
          <w:rFonts w:hint="eastAsia" w:ascii="宋体" w:hAnsi="宋体" w:cs="宋体"/>
          <w:color w:val="auto"/>
          <w:kern w:val="0"/>
          <w:sz w:val="28"/>
          <w:szCs w:val="28"/>
          <w:highlight w:val="none"/>
        </w:rPr>
        <w:t>对可以质疑的采购文件提出质疑的，为收到采购文件之日或者采购文件公告期限届满之日；</w:t>
      </w:r>
    </w:p>
    <w:p>
      <w:pPr>
        <w:adjustRightInd w:val="0"/>
        <w:snapToGrid w:val="0"/>
        <w:spacing w:line="420" w:lineRule="exact"/>
        <w:ind w:firstLine="562" w:firstLineChars="200"/>
        <w:rPr>
          <w:rFonts w:ascii="宋体" w:hAnsi="宋体" w:cs="宋体"/>
          <w:b/>
          <w:bCs/>
          <w:color w:val="auto"/>
          <w:kern w:val="0"/>
          <w:sz w:val="28"/>
          <w:szCs w:val="28"/>
          <w:highlight w:val="none"/>
        </w:rPr>
      </w:pPr>
      <w:r>
        <w:rPr>
          <w:rFonts w:hint="eastAsia" w:ascii="宋体" w:hAnsi="宋体" w:cs="宋体"/>
          <w:b/>
          <w:bCs/>
          <w:color w:val="auto"/>
          <w:sz w:val="28"/>
          <w:szCs w:val="28"/>
          <w:highlight w:val="none"/>
        </w:rPr>
        <w:t>2.2.2</w:t>
      </w:r>
      <w:r>
        <w:rPr>
          <w:rFonts w:hint="eastAsia" w:ascii="宋体" w:hAnsi="宋体" w:cs="宋体"/>
          <w:b/>
          <w:bCs/>
          <w:color w:val="auto"/>
          <w:kern w:val="0"/>
          <w:sz w:val="28"/>
          <w:szCs w:val="28"/>
          <w:highlight w:val="none"/>
        </w:rPr>
        <w:t>对采购过程提出质疑的，为各采购程序环节结束之日；</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其中：对评审过程中涉及到的密封检查、身份核对、澄清等和程序性事项，供应商如有异议的，必须当场提出。否则，均视为供应商无异议。无论是否成交，供应商事后不得再就前述事项提出任何异议或质疑投诉。</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sz w:val="28"/>
          <w:szCs w:val="28"/>
          <w:highlight w:val="none"/>
        </w:rPr>
        <w:t>2.2.3</w:t>
      </w:r>
      <w:r>
        <w:rPr>
          <w:rFonts w:hint="eastAsia" w:ascii="宋体" w:hAnsi="宋体" w:cs="宋体"/>
          <w:color w:val="auto"/>
          <w:kern w:val="0"/>
          <w:sz w:val="28"/>
          <w:szCs w:val="28"/>
          <w:highlight w:val="none"/>
        </w:rPr>
        <w:t>对中标或者成交结果提出质疑的，为中标或者成交结果公告期限届满之日。</w:t>
      </w:r>
    </w:p>
    <w:p>
      <w:pPr>
        <w:adjustRightInd w:val="0"/>
        <w:snapToGrid w:val="0"/>
        <w:spacing w:line="42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供应商应当在法定质疑期内一次性提出针对同一采购程序环节的质疑。</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2.3质疑函必须按照本招标文件中《质疑函范本》要求的格式和内容进行填写。</w:t>
      </w:r>
    </w:p>
    <w:p>
      <w:pPr>
        <w:adjustRightInd w:val="0"/>
        <w:snapToGrid w:val="0"/>
        <w:spacing w:line="42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2.4对采购方式、招标文件中项目需求、供应商资格条件、评标方法和评标标准、资格审查结果等应当由招标人答复的质疑，请向招标人提出，由招标人负责答复。供应商对其他事项的质疑，请向代理机构提出，由代理机构负责答复。</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供应商提起质疑采取书面形式，可以现场送达，也可以邮寄。</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质疑受理联系地址：</w:t>
      </w:r>
      <w:r>
        <w:rPr>
          <w:rFonts w:hint="eastAsia" w:ascii="宋体" w:hAnsi="宋体" w:cs="宋体"/>
          <w:color w:val="auto"/>
          <w:sz w:val="28"/>
          <w:szCs w:val="28"/>
          <w:highlight w:val="none"/>
          <w:lang w:val="en-US" w:eastAsia="zh-CN"/>
        </w:rPr>
        <w:t>南通市崇川区海外联谊大厦2106室</w:t>
      </w:r>
      <w:r>
        <w:rPr>
          <w:rFonts w:hint="eastAsia" w:ascii="宋体" w:hAnsi="宋体" w:cs="宋体"/>
          <w:color w:val="auto"/>
          <w:sz w:val="28"/>
          <w:szCs w:val="28"/>
          <w:highlight w:val="none"/>
        </w:rPr>
        <w:t>，联系电话：0513-55887688。</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招标人质疑接收人及联系方式，见招标文件第一部分。</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2.5供应商提出质疑应当提交质疑函和必要的证明材料，否则不予受理。质疑函应当包括下列内容：</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供应商的姓名或者名称、地址、邮编、联系人及联系电话；</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质疑项目的名称、编号；</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具体、明确的质疑事项和与质疑事项相关的请求；</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事实依据；</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必要的法律依据；</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提出质疑的日期。</w:t>
      </w:r>
    </w:p>
    <w:p>
      <w:pPr>
        <w:adjustRightInd w:val="0"/>
        <w:snapToGrid w:val="0"/>
        <w:spacing w:line="42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供应商为自然人的，应当由本人签字；供应商为法人或者其他组织的，应当由法定代表人、主要负责人，或者其授权代表签字或者盖章，并加盖公章。</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 以下情形的质疑不予受理</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2.5.1 内容不符合上述规定的质疑。</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2.5.2 超出采购法定期限的质疑。</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2.5.3 未参加招标活动的供应商或在招标活动中自身权益未受到损害的供应商所提出的质疑。</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2.6 投标人提出书面质疑必须有理、有据，不得捏造事实、提供虚假材料进行恶意质疑。否则，一经查实，招标代理机构有权依据招标的有关规定，报请采购监管部门对该供应商进行相应的行政处罚和记录该供应商的失信信息。</w:t>
      </w:r>
    </w:p>
    <w:p>
      <w:pPr>
        <w:pStyle w:val="2"/>
        <w:adjustRightInd w:val="0"/>
        <w:snapToGrid w:val="0"/>
        <w:spacing w:line="420" w:lineRule="exact"/>
        <w:ind w:firstLine="560" w:firstLineChars="200"/>
        <w:jc w:val="both"/>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3.中标通知书</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3.l中标结果确定后，招标人将向中标供应商发出中标通知书。成交供应商应在成交结果公告期满后5个工作日内到采购代理机构办理领取成交通知书手续，否则，由此产生的后果供应商自负。</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3.2中标通知书将是合同的一个组成部分。对招标人和中标供应商均具有法律效力。中标通知书发出后，招标人改变中标结果的，或者中标供应商放弃中标项目的，应当依法承担法律责任。</w:t>
      </w:r>
    </w:p>
    <w:p>
      <w:pPr>
        <w:pStyle w:val="5"/>
        <w:adjustRightInd w:val="0"/>
        <w:snapToGrid w:val="0"/>
        <w:spacing w:before="0" w:after="0" w:line="420" w:lineRule="exact"/>
        <w:ind w:firstLine="562" w:firstLineChars="200"/>
        <w:rPr>
          <w:rFonts w:ascii="宋体" w:hAnsi="宋体" w:cs="宋体"/>
          <w:color w:val="auto"/>
          <w:sz w:val="28"/>
          <w:szCs w:val="28"/>
          <w:highlight w:val="none"/>
        </w:rPr>
      </w:pPr>
      <w:bookmarkStart w:id="100" w:name="_Toc120614220"/>
      <w:bookmarkStart w:id="101" w:name="_Toc16938552"/>
      <w:bookmarkStart w:id="102" w:name="_Toc513029236"/>
      <w:bookmarkStart w:id="103" w:name="_Toc20823308"/>
      <w:r>
        <w:rPr>
          <w:rFonts w:hint="eastAsia" w:ascii="宋体" w:hAnsi="宋体" w:cs="宋体"/>
          <w:color w:val="auto"/>
          <w:sz w:val="28"/>
          <w:szCs w:val="28"/>
          <w:highlight w:val="none"/>
        </w:rPr>
        <w:t>七、授予合同</w:t>
      </w:r>
      <w:bookmarkEnd w:id="100"/>
    </w:p>
    <w:bookmarkEnd w:id="101"/>
    <w:bookmarkEnd w:id="102"/>
    <w:bookmarkEnd w:id="103"/>
    <w:p>
      <w:pPr>
        <w:pStyle w:val="2"/>
        <w:adjustRightInd w:val="0"/>
        <w:snapToGrid w:val="0"/>
        <w:spacing w:line="420" w:lineRule="exact"/>
        <w:ind w:firstLine="560" w:firstLineChars="200"/>
        <w:jc w:val="both"/>
        <w:rPr>
          <w:rFonts w:ascii="宋体" w:hAnsi="宋体" w:eastAsia="宋体" w:cs="宋体"/>
          <w:b/>
          <w:color w:val="auto"/>
          <w:sz w:val="28"/>
          <w:szCs w:val="28"/>
          <w:highlight w:val="none"/>
        </w:rPr>
      </w:pPr>
      <w:bookmarkStart w:id="104" w:name="_Toc513029237"/>
      <w:bookmarkStart w:id="105" w:name="_Toc16938553"/>
      <w:bookmarkStart w:id="106" w:name="_Toc20823309"/>
      <w:r>
        <w:rPr>
          <w:rFonts w:hint="eastAsia" w:ascii="宋体" w:hAnsi="宋体" w:eastAsia="宋体" w:cs="宋体"/>
          <w:color w:val="auto"/>
          <w:sz w:val="28"/>
          <w:szCs w:val="28"/>
          <w:highlight w:val="none"/>
        </w:rPr>
        <w:t>1.签订合同</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bCs/>
          <w:color w:val="auto"/>
          <w:sz w:val="28"/>
          <w:szCs w:val="28"/>
          <w:highlight w:val="none"/>
        </w:rPr>
        <w:t>1</w:t>
      </w:r>
      <w:r>
        <w:rPr>
          <w:rFonts w:hint="eastAsia" w:ascii="宋体" w:hAnsi="宋体" w:cs="宋体"/>
          <w:color w:val="auto"/>
          <w:sz w:val="28"/>
          <w:szCs w:val="28"/>
          <w:highlight w:val="none"/>
        </w:rPr>
        <w:t>.l中标人应当在中标通知书发出之日起三十日内，按照招标文件确定的事项与招标人签订政府采购合同。</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1.2招标文件、中标人的投标文件及招标过程中有关澄清、承诺文件均应作为合同附件。</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1.3签订合同后，中标人不得将服务进行转包。未经招标人同意，中标人也不得采用分包的形式履行合同，否则招标人有权终止合同。政府采购合同分包履行的，中标、成交供应商就采购项目和分包项目向招标人负责，分包供应商就分包项目承担责任。转包或分包造成招标人损失的，中标人应承担相应赔偿责任。</w:t>
      </w:r>
    </w:p>
    <w:p>
      <w:pPr>
        <w:pStyle w:val="2"/>
        <w:adjustRightInd w:val="0"/>
        <w:snapToGrid w:val="0"/>
        <w:spacing w:line="420" w:lineRule="exact"/>
        <w:ind w:firstLine="560" w:firstLineChars="200"/>
        <w:jc w:val="both"/>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2.服务的追加、减少和添购。</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2.1政府采购合同履行中，招标人需追加与合同标的相同的服务的，在不改变合同其他条款的前提下，可以与中标人协商签订补充合同，但所有补充合同的采购金额不超过原合同金额10%。</w:t>
      </w:r>
    </w:p>
    <w:p>
      <w:pPr>
        <w:adjustRightInd w:val="0"/>
        <w:snapToGrid w:val="0"/>
        <w:spacing w:line="420" w:lineRule="exact"/>
        <w:ind w:firstLine="560" w:firstLineChars="200"/>
        <w:rPr>
          <w:rFonts w:ascii="宋体" w:hAnsi="宋体" w:cs="宋体"/>
          <w:bCs/>
          <w:color w:val="auto"/>
          <w:sz w:val="36"/>
          <w:szCs w:val="36"/>
          <w:highlight w:val="none"/>
        </w:rPr>
      </w:pPr>
      <w:r>
        <w:rPr>
          <w:rFonts w:hint="eastAsia" w:ascii="宋体" w:hAnsi="宋体" w:cs="宋体"/>
          <w:color w:val="auto"/>
          <w:sz w:val="28"/>
          <w:szCs w:val="28"/>
          <w:highlight w:val="none"/>
        </w:rPr>
        <w:t>2.2采购结束后，招标人若由于各种客观原因，必须对采购项目所牵涉的服务进行适当的减少时，在双方协商一致的前提下，可以按照招标采购时的价格水平做相应的调减，并据此签订补充合同。</w:t>
      </w:r>
      <w:bookmarkEnd w:id="104"/>
      <w:bookmarkEnd w:id="105"/>
      <w:bookmarkEnd w:id="106"/>
    </w:p>
    <w:p>
      <w:pPr>
        <w:adjustRightInd w:val="0"/>
        <w:snapToGrid w:val="0"/>
        <w:spacing w:line="500" w:lineRule="exact"/>
        <w:jc w:val="center"/>
        <w:outlineLvl w:val="0"/>
        <w:rPr>
          <w:rFonts w:ascii="宋体" w:hAnsi="宋体" w:cs="宋体"/>
          <w:bCs/>
          <w:color w:val="auto"/>
          <w:sz w:val="36"/>
          <w:szCs w:val="36"/>
          <w:highlight w:val="none"/>
        </w:rPr>
      </w:pPr>
    </w:p>
    <w:p>
      <w:pPr>
        <w:spacing w:line="800" w:lineRule="exact"/>
        <w:ind w:firstLine="420"/>
        <w:jc w:val="center"/>
        <w:rPr>
          <w:rFonts w:ascii="宋体" w:hAnsi="宋体" w:cs="宋体"/>
          <w:bCs/>
          <w:color w:val="auto"/>
          <w:sz w:val="36"/>
          <w:szCs w:val="36"/>
          <w:highlight w:val="none"/>
        </w:rPr>
      </w:pPr>
      <w:r>
        <w:rPr>
          <w:rFonts w:hint="eastAsia" w:ascii="宋体" w:hAnsi="宋体" w:cs="宋体"/>
          <w:bCs/>
          <w:color w:val="auto"/>
          <w:sz w:val="36"/>
          <w:szCs w:val="36"/>
          <w:highlight w:val="none"/>
        </w:rPr>
        <w:br w:type="page"/>
      </w:r>
      <w:r>
        <w:rPr>
          <w:rFonts w:hint="eastAsia" w:ascii="宋体" w:hAnsi="宋体" w:cs="宋体"/>
          <w:b/>
          <w:color w:val="auto"/>
          <w:sz w:val="36"/>
          <w:szCs w:val="36"/>
          <w:highlight w:val="none"/>
        </w:rPr>
        <w:t>第三部分  项目需求</w:t>
      </w:r>
    </w:p>
    <w:p>
      <w:pPr>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bookmarkEnd w:id="0"/>
    <w:bookmarkEnd w:id="1"/>
    <w:bookmarkEnd w:id="2"/>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rPr>
        <w:t>请投标供应商在制作投标文件时仔细研究项目需求说明。投标供应商不能简单照搬照抄招标人项目需求说明中的技术、商务要求，必须作实事求是的响应。如照搬照抄项目需求说明中的技术、商务要求的，中标后成交供应商在同招标人签订合同环节中不得提出异议，一</w:t>
      </w:r>
      <w:r>
        <w:rPr>
          <w:rFonts w:hint="eastAsia" w:ascii="宋体" w:hAnsi="宋体" w:eastAsia="宋体" w:cs="宋体"/>
          <w:color w:val="auto"/>
          <w:sz w:val="28"/>
          <w:szCs w:val="28"/>
          <w:highlight w:val="none"/>
        </w:rPr>
        <w:t>切后果和损失由成交供应商承担。如投标供应商提供的货物和服务同招标人提出的项目需求说明中的技术、商务要求不同的，必须在《技术响应及偏离表》和《商务条款响应及偏离表》上明示，如不明示的视同完全响应。</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一、项目内容及预算</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标段一：</w:t>
      </w:r>
      <w:r>
        <w:rPr>
          <w:rFonts w:hint="eastAsia" w:ascii="宋体" w:hAnsi="宋体" w:eastAsia="宋体" w:cs="宋体"/>
          <w:color w:val="auto"/>
          <w:sz w:val="28"/>
          <w:szCs w:val="28"/>
          <w:highlight w:val="none"/>
        </w:rPr>
        <w:t>自2012年以来出版的以科技、经济、文学、外语等类为主的中文正版特价书，实洋22万</w:t>
      </w:r>
      <w:r>
        <w:rPr>
          <w:rFonts w:hint="eastAsia" w:ascii="宋体" w:hAnsi="宋体" w:cs="宋体"/>
          <w:color w:val="auto"/>
          <w:sz w:val="28"/>
          <w:szCs w:val="28"/>
          <w:highlight w:val="none"/>
          <w:lang w:val="en-US" w:eastAsia="zh-CN"/>
        </w:rPr>
        <w:t>元</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标段</w:t>
      </w:r>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rPr>
        <w:t>2022-2024年出版的以科技、经济、艺术、外语等类为主的中文正版正价书，实洋18万</w:t>
      </w:r>
      <w:r>
        <w:rPr>
          <w:rFonts w:hint="eastAsia" w:ascii="宋体" w:hAnsi="宋体" w:eastAsia="宋体" w:cs="宋体"/>
          <w:color w:val="auto"/>
          <w:sz w:val="28"/>
          <w:szCs w:val="28"/>
          <w:highlight w:val="none"/>
          <w:lang w:val="en-US" w:eastAsia="zh-CN"/>
        </w:rPr>
        <w:t>元。标段二选取两个成交</w:t>
      </w:r>
      <w:r>
        <w:rPr>
          <w:rFonts w:hint="eastAsia" w:ascii="宋体" w:hAnsi="宋体" w:eastAsia="宋体" w:cs="宋体"/>
          <w:color w:val="auto"/>
          <w:sz w:val="28"/>
          <w:szCs w:val="28"/>
          <w:highlight w:val="none"/>
        </w:rPr>
        <w:t>供应商，原则上每个供应商实洋为9万元</w:t>
      </w:r>
      <w:r>
        <w:rPr>
          <w:rFonts w:hint="eastAsia" w:ascii="宋体" w:hAnsi="宋体" w:eastAsia="宋体" w:cs="宋体"/>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二、合同期限：一年</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62" w:firstLineChars="200"/>
        <w:jc w:val="left"/>
        <w:textAlignment w:val="auto"/>
        <w:rPr>
          <w:rFonts w:hint="eastAsia" w:ascii="宋体" w:hAnsi="宋体" w:eastAsia="宋体" w:cs="宋体"/>
          <w:b/>
          <w:color w:val="auto"/>
          <w:kern w:val="0"/>
          <w:sz w:val="28"/>
          <w:szCs w:val="28"/>
          <w:highlight w:val="none"/>
          <w:shd w:val="clear" w:color="auto" w:fill="FFFFFF"/>
        </w:rPr>
      </w:pPr>
      <w:r>
        <w:rPr>
          <w:rFonts w:hint="eastAsia" w:ascii="宋体" w:hAnsi="宋体" w:eastAsia="宋体" w:cs="宋体"/>
          <w:b/>
          <w:color w:val="auto"/>
          <w:kern w:val="0"/>
          <w:sz w:val="28"/>
          <w:szCs w:val="28"/>
          <w:highlight w:val="none"/>
          <w:shd w:val="clear" w:color="auto" w:fill="FFFFFF"/>
          <w:lang w:val="en-US" w:eastAsia="zh-CN"/>
        </w:rPr>
        <w:t>三、</w:t>
      </w:r>
      <w:r>
        <w:rPr>
          <w:rFonts w:hint="eastAsia" w:ascii="宋体" w:hAnsi="宋体" w:eastAsia="宋体" w:cs="宋体"/>
          <w:b/>
          <w:color w:val="auto"/>
          <w:kern w:val="0"/>
          <w:sz w:val="28"/>
          <w:szCs w:val="28"/>
          <w:highlight w:val="none"/>
          <w:shd w:val="clear" w:color="auto" w:fill="FFFFFF"/>
        </w:rPr>
        <w:t>图书品种和册数等要求</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1、特价书：均为正版书，且为2012年以后出版的图书，供选图书品种数</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shd w:val="clear" w:color="auto" w:fill="FFFFFF"/>
        </w:rPr>
        <w:t>2万（其中2020至2024年出版的不少于35%），复本</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shd w:val="clear" w:color="auto" w:fill="FFFFFF"/>
        </w:rPr>
        <w:t>3册，总册数</w:t>
      </w:r>
      <w:r>
        <w:rPr>
          <w:rFonts w:hint="eastAsia" w:ascii="宋体" w:hAnsi="宋体" w:eastAsia="宋体" w:cs="宋体"/>
          <w:color w:val="auto"/>
          <w:kern w:val="0"/>
          <w:sz w:val="28"/>
          <w:szCs w:val="28"/>
          <w:highlight w:val="none"/>
        </w:rPr>
        <w:t>≥</w:t>
      </w:r>
      <w:r>
        <w:rPr>
          <w:rFonts w:hint="eastAsia" w:ascii="宋体" w:hAnsi="宋体" w:eastAsia="宋体" w:cs="宋体"/>
          <w:b/>
          <w:bCs/>
          <w:color w:val="auto"/>
          <w:kern w:val="0"/>
          <w:sz w:val="28"/>
          <w:szCs w:val="28"/>
          <w:highlight w:val="none"/>
          <w:shd w:val="clear" w:color="auto" w:fill="FFFFFF"/>
        </w:rPr>
        <w:t>2.5</w:t>
      </w:r>
      <w:r>
        <w:rPr>
          <w:rFonts w:hint="eastAsia" w:ascii="宋体" w:hAnsi="宋体" w:eastAsia="宋体" w:cs="宋体"/>
          <w:color w:val="auto"/>
          <w:kern w:val="0"/>
          <w:sz w:val="28"/>
          <w:szCs w:val="28"/>
          <w:highlight w:val="none"/>
          <w:shd w:val="clear" w:color="auto" w:fill="FFFFFF"/>
        </w:rPr>
        <w:t>万册，总码洋</w:t>
      </w:r>
      <w:r>
        <w:rPr>
          <w:rFonts w:hint="eastAsia" w:ascii="宋体" w:hAnsi="宋体" w:eastAsia="宋体" w:cs="宋体"/>
          <w:color w:val="auto"/>
          <w:kern w:val="0"/>
          <w:sz w:val="28"/>
          <w:szCs w:val="28"/>
          <w:highlight w:val="none"/>
        </w:rPr>
        <w:t>≥</w:t>
      </w:r>
      <w:r>
        <w:rPr>
          <w:rFonts w:hint="eastAsia" w:ascii="宋体" w:hAnsi="宋体" w:eastAsia="宋体" w:cs="宋体"/>
          <w:b/>
          <w:bCs/>
          <w:color w:val="auto"/>
          <w:kern w:val="0"/>
          <w:sz w:val="28"/>
          <w:szCs w:val="28"/>
          <w:highlight w:val="none"/>
          <w:shd w:val="clear" w:color="auto" w:fill="FFFFFF"/>
        </w:rPr>
        <w:t>112万</w:t>
      </w:r>
      <w:r>
        <w:rPr>
          <w:rFonts w:hint="eastAsia" w:ascii="宋体" w:hAnsi="宋体" w:eastAsia="宋体" w:cs="宋体"/>
          <w:color w:val="auto"/>
          <w:kern w:val="0"/>
          <w:sz w:val="28"/>
          <w:szCs w:val="28"/>
          <w:highlight w:val="none"/>
          <w:shd w:val="clear" w:color="auto" w:fill="FFFFFF"/>
        </w:rPr>
        <w:t>元（人民币），且实洋不超过</w:t>
      </w:r>
      <w:r>
        <w:rPr>
          <w:rFonts w:hint="eastAsia" w:ascii="宋体" w:hAnsi="宋体" w:eastAsia="宋体" w:cs="宋体"/>
          <w:b/>
          <w:bCs/>
          <w:color w:val="auto"/>
          <w:kern w:val="0"/>
          <w:sz w:val="28"/>
          <w:szCs w:val="28"/>
          <w:highlight w:val="none"/>
          <w:shd w:val="clear" w:color="auto" w:fill="FFFFFF"/>
        </w:rPr>
        <w:t>22 万</w:t>
      </w:r>
      <w:r>
        <w:rPr>
          <w:rFonts w:hint="eastAsia" w:ascii="宋体" w:hAnsi="宋体" w:eastAsia="宋体" w:cs="宋体"/>
          <w:color w:val="auto"/>
          <w:kern w:val="0"/>
          <w:sz w:val="28"/>
          <w:szCs w:val="28"/>
          <w:highlight w:val="none"/>
          <w:shd w:val="clear" w:color="auto" w:fill="FFFFFF"/>
        </w:rPr>
        <w:t>元（人民币）。</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2、正价书：均为2022-2024年出版的正版新书，总码洋</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shd w:val="clear" w:color="auto" w:fill="FFFFFF"/>
        </w:rPr>
        <w:t>25万元（人民币），且实洋不超过18万元（人民币）。</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Cs/>
          <w:color w:val="auto"/>
          <w:kern w:val="0"/>
          <w:sz w:val="28"/>
          <w:szCs w:val="28"/>
          <w:highlight w:val="none"/>
          <w:u w:val="single"/>
          <w:shd w:val="clear" w:color="auto" w:fill="FFFFFF"/>
        </w:rPr>
      </w:pPr>
      <w:r>
        <w:rPr>
          <w:rFonts w:hint="eastAsia" w:ascii="宋体" w:hAnsi="宋体" w:eastAsia="宋体" w:cs="宋体"/>
          <w:bCs/>
          <w:color w:val="auto"/>
          <w:kern w:val="0"/>
          <w:sz w:val="28"/>
          <w:szCs w:val="28"/>
          <w:highlight w:val="none"/>
          <w:u w:val="single"/>
          <w:shd w:val="clear" w:color="auto" w:fill="FFFFFF"/>
        </w:rPr>
        <w:t>以上图书订购书目均由招标</w:t>
      </w:r>
      <w:r>
        <w:rPr>
          <w:rFonts w:hint="eastAsia" w:ascii="宋体" w:hAnsi="宋体" w:eastAsia="宋体" w:cs="宋体"/>
          <w:bCs/>
          <w:color w:val="auto"/>
          <w:kern w:val="0"/>
          <w:sz w:val="28"/>
          <w:szCs w:val="28"/>
          <w:highlight w:val="none"/>
          <w:u w:val="single"/>
          <w:shd w:val="clear" w:color="auto" w:fill="FFFFFF"/>
          <w:lang w:val="en-US" w:eastAsia="zh-CN"/>
        </w:rPr>
        <w:t>人</w:t>
      </w:r>
      <w:r>
        <w:rPr>
          <w:rFonts w:hint="eastAsia" w:ascii="宋体" w:hAnsi="宋体" w:eastAsia="宋体" w:cs="宋体"/>
          <w:bCs/>
          <w:color w:val="auto"/>
          <w:kern w:val="0"/>
          <w:sz w:val="28"/>
          <w:szCs w:val="28"/>
          <w:highlight w:val="none"/>
          <w:u w:val="single"/>
          <w:shd w:val="clear" w:color="auto" w:fill="FFFFFF"/>
        </w:rPr>
        <w:t>根据</w:t>
      </w:r>
      <w:r>
        <w:rPr>
          <w:rFonts w:hint="eastAsia" w:ascii="宋体" w:hAnsi="宋体" w:cs="宋体"/>
          <w:bCs/>
          <w:color w:val="auto"/>
          <w:kern w:val="0"/>
          <w:sz w:val="28"/>
          <w:szCs w:val="28"/>
          <w:highlight w:val="none"/>
          <w:u w:val="single"/>
          <w:shd w:val="clear" w:color="auto" w:fill="FFFFFF"/>
          <w:lang w:eastAsia="zh-CN"/>
        </w:rPr>
        <w:t>中标人</w:t>
      </w:r>
      <w:r>
        <w:rPr>
          <w:rFonts w:hint="eastAsia" w:ascii="宋体" w:hAnsi="宋体" w:eastAsia="宋体" w:cs="宋体"/>
          <w:bCs/>
          <w:color w:val="auto"/>
          <w:kern w:val="0"/>
          <w:sz w:val="28"/>
          <w:szCs w:val="28"/>
          <w:highlight w:val="none"/>
          <w:u w:val="single"/>
          <w:shd w:val="clear" w:color="auto" w:fill="FFFFFF"/>
        </w:rPr>
        <w:t>提供的书目筛选+</w:t>
      </w:r>
      <w:r>
        <w:rPr>
          <w:rFonts w:hint="eastAsia" w:ascii="宋体" w:hAnsi="宋体" w:cs="宋体"/>
          <w:bCs/>
          <w:color w:val="auto"/>
          <w:kern w:val="0"/>
          <w:sz w:val="28"/>
          <w:szCs w:val="28"/>
          <w:highlight w:val="none"/>
          <w:u w:val="single"/>
          <w:shd w:val="clear" w:color="auto" w:fill="FFFFFF"/>
          <w:lang w:eastAsia="zh-CN"/>
        </w:rPr>
        <w:t>中标人</w:t>
      </w:r>
      <w:r>
        <w:rPr>
          <w:rFonts w:hint="eastAsia" w:ascii="宋体" w:hAnsi="宋体" w:eastAsia="宋体" w:cs="宋体"/>
          <w:bCs/>
          <w:color w:val="auto"/>
          <w:kern w:val="0"/>
          <w:sz w:val="28"/>
          <w:szCs w:val="28"/>
          <w:highlight w:val="none"/>
          <w:u w:val="single"/>
          <w:shd w:val="clear" w:color="auto" w:fill="FFFFFF"/>
        </w:rPr>
        <w:t>自行选定的书目确定，</w:t>
      </w:r>
      <w:r>
        <w:rPr>
          <w:rFonts w:hint="eastAsia" w:ascii="宋体" w:hAnsi="宋体" w:cs="宋体"/>
          <w:bCs/>
          <w:color w:val="auto"/>
          <w:kern w:val="0"/>
          <w:sz w:val="28"/>
          <w:szCs w:val="28"/>
          <w:highlight w:val="none"/>
          <w:u w:val="single"/>
          <w:shd w:val="clear" w:color="auto" w:fill="FFFFFF"/>
          <w:lang w:eastAsia="zh-CN"/>
        </w:rPr>
        <w:t>中标人</w:t>
      </w:r>
      <w:r>
        <w:rPr>
          <w:rFonts w:hint="eastAsia" w:ascii="宋体" w:hAnsi="宋体" w:eastAsia="宋体" w:cs="宋体"/>
          <w:bCs/>
          <w:color w:val="auto"/>
          <w:kern w:val="0"/>
          <w:sz w:val="28"/>
          <w:szCs w:val="28"/>
          <w:highlight w:val="none"/>
          <w:u w:val="single"/>
          <w:shd w:val="clear" w:color="auto" w:fill="FFFFFF"/>
        </w:rPr>
        <w:t>不得自行选购。</w:t>
      </w:r>
    </w:p>
    <w:p>
      <w:pPr>
        <w:keepNext w:val="0"/>
        <w:keepLines w:val="0"/>
        <w:pageBreakBefore w:val="0"/>
        <w:kinsoku/>
        <w:wordWrap/>
        <w:overflowPunct/>
        <w:topLinePunct w:val="0"/>
        <w:autoSpaceDE/>
        <w:autoSpaceDN/>
        <w:bidi w:val="0"/>
        <w:adjustRightInd/>
        <w:snapToGrid/>
        <w:spacing w:line="460" w:lineRule="exact"/>
        <w:ind w:left="0" w:leftChars="0"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color w:val="auto"/>
          <w:sz w:val="28"/>
          <w:szCs w:val="28"/>
          <w:highlight w:val="none"/>
        </w:rPr>
        <w:t>主要技术指标</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shd w:val="clear" w:color="auto" w:fill="FFFFFF"/>
        </w:rPr>
        <w:t>1</w:t>
      </w:r>
      <w:r>
        <w:rPr>
          <w:rFonts w:hint="eastAsia" w:ascii="宋体" w:hAnsi="宋体" w:eastAsia="宋体" w:cs="宋体"/>
          <w:color w:val="auto"/>
          <w:kern w:val="0"/>
          <w:sz w:val="28"/>
          <w:szCs w:val="28"/>
          <w:highlight w:val="none"/>
          <w:shd w:val="clear" w:color="auto" w:fill="FFFFFF"/>
          <w:lang w:val="en-US" w:eastAsia="zh-CN"/>
        </w:rPr>
        <w:t>.</w:t>
      </w:r>
      <w:r>
        <w:rPr>
          <w:rFonts w:hint="eastAsia" w:ascii="宋体" w:hAnsi="宋体" w:eastAsia="宋体" w:cs="宋体"/>
          <w:color w:val="auto"/>
          <w:kern w:val="0"/>
          <w:sz w:val="28"/>
          <w:szCs w:val="28"/>
          <w:highlight w:val="none"/>
          <w:shd w:val="clear" w:color="auto" w:fill="FFFFFF"/>
        </w:rPr>
        <w:t>具有独立提供书目及图书来源的能力：</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shd w:val="clear" w:color="auto" w:fill="FFFFFF"/>
        </w:rPr>
        <w:t>(1)通过各类书目的征订供应图书：</w:t>
      </w:r>
    </w:p>
    <w:p>
      <w:pPr>
        <w:keepNext w:val="0"/>
        <w:keepLines w:val="0"/>
        <w:pageBreakBefore w:val="0"/>
        <w:tabs>
          <w:tab w:val="left" w:pos="396"/>
        </w:tabs>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①全国性书目（社科新书目、科技新书目和上海新书目）；</w:t>
      </w:r>
    </w:p>
    <w:p>
      <w:pPr>
        <w:keepNext w:val="0"/>
        <w:keepLines w:val="0"/>
        <w:pageBreakBefore w:val="0"/>
        <w:tabs>
          <w:tab w:val="left" w:pos="396"/>
        </w:tabs>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②自编、定期更新的正价书目；</w:t>
      </w:r>
    </w:p>
    <w:p>
      <w:pPr>
        <w:keepNext w:val="0"/>
        <w:keepLines w:val="0"/>
        <w:pageBreakBefore w:val="0"/>
        <w:tabs>
          <w:tab w:val="left" w:pos="396"/>
        </w:tabs>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③各大出版社提供的新书目；</w:t>
      </w:r>
    </w:p>
    <w:p>
      <w:pPr>
        <w:keepNext w:val="0"/>
        <w:keepLines w:val="0"/>
        <w:pageBreakBefore w:val="0"/>
        <w:tabs>
          <w:tab w:val="left" w:pos="396"/>
        </w:tabs>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④全国书市、图书展览会的书目；</w:t>
      </w:r>
    </w:p>
    <w:p>
      <w:pPr>
        <w:keepNext w:val="0"/>
        <w:keepLines w:val="0"/>
        <w:pageBreakBefore w:val="0"/>
        <w:tabs>
          <w:tab w:val="left" w:pos="396"/>
        </w:tabs>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 5 \* GB3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⑤</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全国各大书城及网上书店的畅销书目、部分“读书网”上推荐的精品书书目；</w:t>
      </w:r>
    </w:p>
    <w:p>
      <w:pPr>
        <w:keepNext w:val="0"/>
        <w:keepLines w:val="0"/>
        <w:pageBreakBefore w:val="0"/>
        <w:tabs>
          <w:tab w:val="left" w:pos="396"/>
        </w:tabs>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⑥</w:t>
      </w:r>
      <w:r>
        <w:rPr>
          <w:rFonts w:hint="eastAsia" w:ascii="宋体" w:hAnsi="宋体" w:cs="宋体"/>
          <w:color w:val="auto"/>
          <w:sz w:val="28"/>
          <w:szCs w:val="28"/>
          <w:highlight w:val="none"/>
          <w:lang w:eastAsia="zh-CN"/>
        </w:rPr>
        <w:t>招标人</w:t>
      </w:r>
      <w:r>
        <w:rPr>
          <w:rFonts w:hint="eastAsia" w:ascii="宋体" w:hAnsi="宋体" w:eastAsia="宋体" w:cs="宋体"/>
          <w:color w:val="auto"/>
          <w:sz w:val="28"/>
          <w:szCs w:val="28"/>
          <w:highlight w:val="none"/>
        </w:rPr>
        <w:t>专业设置所需书目。</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shd w:val="clear" w:color="auto" w:fill="FFFFFF"/>
        </w:rPr>
        <w:t>(2)拥有自己的样本书库并可用于现采，组织参加全国书展及部分图书展销会，通过现场购书的方式供应图书，保证所购图书的质量、品种以及服务能满足</w:t>
      </w:r>
      <w:r>
        <w:rPr>
          <w:rFonts w:hint="eastAsia" w:ascii="宋体" w:hAnsi="宋体" w:cs="宋体"/>
          <w:color w:val="auto"/>
          <w:kern w:val="0"/>
          <w:sz w:val="28"/>
          <w:szCs w:val="28"/>
          <w:highlight w:val="none"/>
          <w:shd w:val="clear" w:color="auto" w:fill="FFFFFF"/>
          <w:lang w:eastAsia="zh-CN"/>
        </w:rPr>
        <w:t>招标人</w:t>
      </w:r>
      <w:r>
        <w:rPr>
          <w:rFonts w:hint="eastAsia" w:ascii="宋体" w:hAnsi="宋体" w:eastAsia="宋体" w:cs="宋体"/>
          <w:color w:val="auto"/>
          <w:kern w:val="0"/>
          <w:sz w:val="28"/>
          <w:szCs w:val="28"/>
          <w:highlight w:val="none"/>
          <w:shd w:val="clear" w:color="auto" w:fill="FFFFFF"/>
        </w:rPr>
        <w:t>的要求。</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(3)对下列</w:t>
      </w:r>
      <w:r>
        <w:rPr>
          <w:rFonts w:hint="eastAsia" w:ascii="宋体" w:hAnsi="宋体" w:eastAsia="宋体" w:cs="宋体"/>
          <w:b/>
          <w:bCs/>
          <w:color w:val="auto"/>
          <w:kern w:val="0"/>
          <w:sz w:val="28"/>
          <w:szCs w:val="28"/>
          <w:highlight w:val="none"/>
          <w:shd w:val="clear" w:color="auto" w:fill="FFFFFF"/>
        </w:rPr>
        <w:t>七大出版社</w:t>
      </w:r>
      <w:r>
        <w:rPr>
          <w:rFonts w:hint="eastAsia" w:ascii="宋体" w:hAnsi="宋体" w:eastAsia="宋体" w:cs="宋体"/>
          <w:color w:val="auto"/>
          <w:kern w:val="0"/>
          <w:sz w:val="28"/>
          <w:szCs w:val="28"/>
          <w:highlight w:val="none"/>
          <w:shd w:val="clear" w:color="auto" w:fill="FFFFFF"/>
        </w:rPr>
        <w:t>须能及时组织到</w:t>
      </w:r>
      <w:r>
        <w:rPr>
          <w:rFonts w:hint="eastAsia" w:ascii="宋体" w:hAnsi="宋体" w:eastAsia="宋体" w:cs="宋体"/>
          <w:b/>
          <w:bCs/>
          <w:color w:val="auto"/>
          <w:kern w:val="0"/>
          <w:sz w:val="28"/>
          <w:szCs w:val="28"/>
          <w:highlight w:val="none"/>
          <w:shd w:val="clear" w:color="auto" w:fill="FFFFFF"/>
        </w:rPr>
        <w:t>90%</w:t>
      </w:r>
      <w:r>
        <w:rPr>
          <w:rFonts w:hint="eastAsia" w:ascii="宋体" w:hAnsi="宋体" w:eastAsia="宋体" w:cs="宋体"/>
          <w:color w:val="auto"/>
          <w:kern w:val="0"/>
          <w:sz w:val="28"/>
          <w:szCs w:val="28"/>
          <w:highlight w:val="none"/>
          <w:shd w:val="clear" w:color="auto" w:fill="FFFFFF"/>
        </w:rPr>
        <w:t>以上的当年出版书目：高等教育出版社、清华大学出版社、人民邮电出版社、电子工业出版社、机械工业出版社、化学工业出版社、中国建筑工业出版社等。</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(4)全国英语等级考试、全国计算机等级考试、专升本考试及建筑工程类、机械工程类、化学工程类、电子信息类、经济管理类、语言文字类等相关资格考试指导用书为必供书目。</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cs="宋体"/>
          <w:color w:val="auto"/>
          <w:kern w:val="0"/>
          <w:sz w:val="28"/>
          <w:szCs w:val="28"/>
          <w:highlight w:val="none"/>
          <w:shd w:val="clear" w:color="auto" w:fill="FFFFFF"/>
          <w:lang w:eastAsia="zh-CN"/>
        </w:rPr>
      </w:pPr>
      <w:r>
        <w:rPr>
          <w:rFonts w:hint="eastAsia" w:ascii="宋体" w:hAnsi="宋体" w:eastAsia="宋体" w:cs="宋体"/>
          <w:color w:val="auto"/>
          <w:kern w:val="0"/>
          <w:sz w:val="28"/>
          <w:szCs w:val="28"/>
          <w:highlight w:val="none"/>
          <w:shd w:val="clear" w:color="auto" w:fill="FFFFFF"/>
        </w:rPr>
        <w:t>2</w:t>
      </w:r>
      <w:r>
        <w:rPr>
          <w:rFonts w:hint="eastAsia" w:ascii="宋体" w:hAnsi="宋体" w:eastAsia="宋体" w:cs="宋体"/>
          <w:color w:val="auto"/>
          <w:kern w:val="0"/>
          <w:sz w:val="28"/>
          <w:szCs w:val="28"/>
          <w:highlight w:val="none"/>
          <w:shd w:val="clear" w:color="auto" w:fill="FFFFFF"/>
          <w:lang w:val="en-US" w:eastAsia="zh-CN"/>
        </w:rPr>
        <w:t>.</w:t>
      </w:r>
      <w:r>
        <w:rPr>
          <w:rFonts w:hint="eastAsia" w:ascii="宋体" w:hAnsi="宋体" w:eastAsia="宋体" w:cs="宋体"/>
          <w:color w:val="auto"/>
          <w:kern w:val="0"/>
          <w:sz w:val="28"/>
          <w:szCs w:val="28"/>
          <w:highlight w:val="none"/>
          <w:shd w:val="clear" w:color="auto" w:fill="FFFFFF"/>
        </w:rPr>
        <w:t>投标</w:t>
      </w:r>
      <w:r>
        <w:rPr>
          <w:rFonts w:hint="eastAsia" w:ascii="宋体" w:hAnsi="宋体" w:eastAsia="宋体" w:cs="宋体"/>
          <w:color w:val="auto"/>
          <w:kern w:val="0"/>
          <w:sz w:val="28"/>
          <w:szCs w:val="28"/>
          <w:highlight w:val="none"/>
          <w:shd w:val="clear" w:color="auto" w:fill="FFFFFF"/>
          <w:lang w:val="en-US" w:eastAsia="zh-CN"/>
        </w:rPr>
        <w:t>人</w:t>
      </w:r>
      <w:r>
        <w:rPr>
          <w:rFonts w:hint="eastAsia" w:ascii="宋体" w:hAnsi="宋体" w:eastAsia="宋体" w:cs="宋体"/>
          <w:color w:val="auto"/>
          <w:kern w:val="0"/>
          <w:sz w:val="28"/>
          <w:szCs w:val="28"/>
          <w:highlight w:val="none"/>
          <w:shd w:val="clear" w:color="auto" w:fill="FFFFFF"/>
        </w:rPr>
        <w:t>须有自己的互联网站，能实现MARC电子数据的上传和下载等网络服务</w:t>
      </w:r>
      <w:r>
        <w:rPr>
          <w:rFonts w:hint="eastAsia" w:ascii="宋体" w:hAnsi="宋体" w:cs="宋体"/>
          <w:color w:val="auto"/>
          <w:kern w:val="0"/>
          <w:sz w:val="28"/>
          <w:szCs w:val="28"/>
          <w:highlight w:val="none"/>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firstLine="560" w:firstLineChars="200"/>
        <w:jc w:val="left"/>
        <w:textAlignment w:val="auto"/>
        <w:rPr>
          <w:rFonts w:hint="eastAsia"/>
          <w:color w:val="auto"/>
          <w:highlight w:val="none"/>
          <w:lang w:eastAsia="zh-CN"/>
        </w:rPr>
      </w:pPr>
      <w:r>
        <w:rPr>
          <w:rFonts w:hint="eastAsia" w:ascii="宋体" w:hAnsi="宋体" w:eastAsia="宋体" w:cs="宋体"/>
          <w:color w:val="auto"/>
          <w:kern w:val="0"/>
          <w:sz w:val="28"/>
          <w:szCs w:val="28"/>
          <w:highlight w:val="none"/>
          <w:shd w:val="clear" w:color="auto" w:fill="FFFFFF"/>
        </w:rPr>
        <w:t>3</w:t>
      </w:r>
      <w:r>
        <w:rPr>
          <w:rFonts w:hint="eastAsia" w:ascii="宋体" w:hAnsi="宋体" w:eastAsia="宋体" w:cs="宋体"/>
          <w:color w:val="auto"/>
          <w:kern w:val="0"/>
          <w:sz w:val="28"/>
          <w:szCs w:val="28"/>
          <w:highlight w:val="none"/>
          <w:shd w:val="clear" w:color="auto" w:fill="FFFFFF"/>
          <w:lang w:val="en-US" w:eastAsia="zh-CN"/>
        </w:rPr>
        <w:t>.</w:t>
      </w:r>
      <w:r>
        <w:rPr>
          <w:rFonts w:hint="eastAsia" w:ascii="宋体" w:hAnsi="宋体" w:eastAsia="宋体" w:cs="宋体"/>
          <w:color w:val="auto"/>
          <w:kern w:val="0"/>
          <w:sz w:val="28"/>
          <w:szCs w:val="28"/>
          <w:highlight w:val="none"/>
          <w:shd w:val="clear" w:color="auto" w:fill="FFFFFF"/>
        </w:rPr>
        <w:t>能实现图书的远程加工并提供证明材料。</w:t>
      </w:r>
      <w:r>
        <w:rPr>
          <w:rFonts w:hint="eastAsia" w:ascii="宋体" w:hAnsi="宋体" w:eastAsia="宋体" w:cs="宋体"/>
          <w:color w:val="auto"/>
          <w:kern w:val="0"/>
          <w:sz w:val="28"/>
          <w:szCs w:val="28"/>
          <w:highlight w:val="none"/>
          <w:shd w:val="clear" w:color="auto" w:fill="FFFFFF"/>
          <w:lang w:val="en-US" w:eastAsia="zh-CN"/>
        </w:rPr>
        <w:t>(可由相关合作馆提供证明材料）</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firstLine="560" w:firstLineChars="200"/>
        <w:jc w:val="left"/>
        <w:textAlignment w:val="auto"/>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4</w:t>
      </w:r>
      <w:r>
        <w:rPr>
          <w:rFonts w:hint="eastAsia" w:ascii="宋体" w:hAnsi="宋体" w:eastAsia="宋体" w:cs="宋体"/>
          <w:color w:val="auto"/>
          <w:kern w:val="0"/>
          <w:sz w:val="28"/>
          <w:szCs w:val="28"/>
          <w:highlight w:val="none"/>
          <w:shd w:val="clear" w:color="auto" w:fill="FFFFFF"/>
          <w:lang w:val="en-US" w:eastAsia="zh-CN"/>
        </w:rPr>
        <w:t>.</w:t>
      </w:r>
      <w:r>
        <w:rPr>
          <w:rFonts w:hint="eastAsia" w:ascii="宋体" w:hAnsi="宋体" w:eastAsia="宋体" w:cs="宋体"/>
          <w:color w:val="auto"/>
          <w:kern w:val="0"/>
          <w:sz w:val="28"/>
          <w:szCs w:val="28"/>
          <w:highlight w:val="none"/>
          <w:shd w:val="clear" w:color="auto" w:fill="FFFFFF"/>
        </w:rPr>
        <w:t>遵纪守法，不经营盗版图书、劣质图书，无偷、漏税等不良记录。</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firstLine="560" w:firstLineChars="200"/>
        <w:jc w:val="left"/>
        <w:textAlignment w:val="auto"/>
        <w:rPr>
          <w:rFonts w:hint="eastAsia" w:ascii="宋体" w:hAnsi="宋体" w:eastAsia="宋体" w:cs="宋体"/>
          <w:b/>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5</w:t>
      </w:r>
      <w:r>
        <w:rPr>
          <w:rFonts w:hint="eastAsia" w:ascii="宋体" w:hAnsi="宋体" w:eastAsia="宋体" w:cs="宋体"/>
          <w:color w:val="auto"/>
          <w:kern w:val="0"/>
          <w:sz w:val="28"/>
          <w:szCs w:val="28"/>
          <w:highlight w:val="none"/>
          <w:shd w:val="clear" w:color="auto" w:fill="FFFFFF"/>
          <w:lang w:val="en-US" w:eastAsia="zh-CN"/>
        </w:rPr>
        <w:t>.</w:t>
      </w:r>
      <w:r>
        <w:rPr>
          <w:rFonts w:hint="eastAsia" w:ascii="宋体" w:hAnsi="宋体" w:eastAsia="宋体" w:cs="宋体"/>
          <w:color w:val="auto"/>
          <w:kern w:val="0"/>
          <w:sz w:val="28"/>
          <w:szCs w:val="28"/>
          <w:highlight w:val="none"/>
          <w:shd w:val="clear" w:color="auto" w:fill="FFFFFF"/>
        </w:rPr>
        <w:t>承担</w:t>
      </w:r>
      <w:r>
        <w:rPr>
          <w:rFonts w:hint="eastAsia" w:ascii="宋体" w:hAnsi="宋体" w:cs="宋体"/>
          <w:color w:val="auto"/>
          <w:kern w:val="0"/>
          <w:sz w:val="28"/>
          <w:szCs w:val="28"/>
          <w:highlight w:val="none"/>
          <w:shd w:val="clear" w:color="auto" w:fill="FFFFFF"/>
          <w:lang w:eastAsia="zh-CN"/>
        </w:rPr>
        <w:t>招标文件</w:t>
      </w:r>
      <w:r>
        <w:rPr>
          <w:rFonts w:hint="eastAsia" w:ascii="宋体" w:hAnsi="宋体" w:cs="宋体"/>
          <w:color w:val="auto"/>
          <w:kern w:val="0"/>
          <w:sz w:val="28"/>
          <w:szCs w:val="28"/>
          <w:highlight w:val="none"/>
          <w:shd w:val="clear" w:color="auto" w:fill="FFFFFF"/>
          <w:lang w:val="en-US" w:eastAsia="zh-CN"/>
        </w:rPr>
        <w:t>及投标文件</w:t>
      </w:r>
      <w:r>
        <w:rPr>
          <w:rFonts w:hint="eastAsia" w:ascii="宋体" w:hAnsi="宋体" w:eastAsia="宋体" w:cs="宋体"/>
          <w:color w:val="auto"/>
          <w:kern w:val="0"/>
          <w:sz w:val="28"/>
          <w:szCs w:val="28"/>
          <w:highlight w:val="none"/>
          <w:shd w:val="clear" w:color="auto" w:fill="FFFFFF"/>
        </w:rPr>
        <w:t>的各项约束与责任，履行其各项服务承诺。</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firstLine="562" w:firstLineChars="200"/>
        <w:textAlignment w:val="auto"/>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shd w:val="clear" w:color="auto" w:fill="FFFFFF"/>
          <w:lang w:val="en-US" w:eastAsia="zh-CN"/>
        </w:rPr>
        <w:t>五</w:t>
      </w:r>
      <w:r>
        <w:rPr>
          <w:rFonts w:hint="eastAsia" w:ascii="宋体" w:hAnsi="宋体" w:eastAsia="宋体" w:cs="宋体"/>
          <w:b/>
          <w:color w:val="auto"/>
          <w:kern w:val="0"/>
          <w:sz w:val="28"/>
          <w:szCs w:val="28"/>
          <w:highlight w:val="none"/>
          <w:shd w:val="clear" w:color="auto" w:fill="FFFFFF"/>
        </w:rPr>
        <w:t>、中标后的服务承诺（</w:t>
      </w:r>
      <w:r>
        <w:rPr>
          <w:rFonts w:hint="eastAsia" w:ascii="宋体" w:hAnsi="宋体" w:eastAsia="宋体" w:cs="宋体"/>
          <w:color w:val="auto"/>
          <w:kern w:val="0"/>
          <w:sz w:val="28"/>
          <w:szCs w:val="28"/>
          <w:highlight w:val="none"/>
          <w:shd w:val="clear" w:color="auto" w:fill="FFFFFF"/>
        </w:rPr>
        <w:t>售后服务承诺书需加盖公章）</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shd w:val="clear" w:color="auto" w:fill="FFFFFF"/>
        </w:rPr>
        <w:t>1</w:t>
      </w:r>
      <w:r>
        <w:rPr>
          <w:rFonts w:hint="eastAsia" w:ascii="宋体" w:hAnsi="宋体" w:eastAsia="宋体" w:cs="宋体"/>
          <w:color w:val="auto"/>
          <w:kern w:val="0"/>
          <w:sz w:val="28"/>
          <w:szCs w:val="28"/>
          <w:highlight w:val="none"/>
          <w:shd w:val="clear" w:color="auto" w:fill="FFFFFF"/>
          <w:lang w:val="en-US" w:eastAsia="zh-CN"/>
        </w:rPr>
        <w:t>.</w:t>
      </w:r>
      <w:r>
        <w:rPr>
          <w:rFonts w:hint="eastAsia" w:ascii="宋体" w:hAnsi="宋体" w:eastAsia="宋体" w:cs="宋体"/>
          <w:color w:val="auto"/>
          <w:kern w:val="0"/>
          <w:sz w:val="28"/>
          <w:szCs w:val="28"/>
          <w:highlight w:val="none"/>
          <w:shd w:val="clear" w:color="auto" w:fill="FFFFFF"/>
        </w:rPr>
        <w:t>中标</w:t>
      </w:r>
      <w:r>
        <w:rPr>
          <w:rFonts w:hint="eastAsia" w:ascii="宋体" w:hAnsi="宋体" w:eastAsia="宋体" w:cs="宋体"/>
          <w:color w:val="auto"/>
          <w:kern w:val="0"/>
          <w:sz w:val="28"/>
          <w:szCs w:val="28"/>
          <w:highlight w:val="none"/>
          <w:shd w:val="clear" w:color="auto" w:fill="FFFFFF"/>
          <w:lang w:val="en-US" w:eastAsia="zh-CN"/>
        </w:rPr>
        <w:t>人</w:t>
      </w:r>
      <w:r>
        <w:rPr>
          <w:rFonts w:hint="eastAsia" w:ascii="宋体" w:hAnsi="宋体" w:eastAsia="宋体" w:cs="宋体"/>
          <w:color w:val="auto"/>
          <w:kern w:val="0"/>
          <w:sz w:val="28"/>
          <w:szCs w:val="28"/>
          <w:highlight w:val="none"/>
          <w:shd w:val="clear" w:color="auto" w:fill="FFFFFF"/>
        </w:rPr>
        <w:t>须提供MARC电子数据的上传和下载；提供网上书目查询和网上书目订购及汇总统计网上订购结果；根据招标</w:t>
      </w:r>
      <w:r>
        <w:rPr>
          <w:rFonts w:hint="eastAsia" w:ascii="宋体" w:hAnsi="宋体" w:eastAsia="宋体" w:cs="宋体"/>
          <w:color w:val="auto"/>
          <w:kern w:val="0"/>
          <w:sz w:val="28"/>
          <w:szCs w:val="28"/>
          <w:highlight w:val="none"/>
          <w:shd w:val="clear" w:color="auto" w:fill="FFFFFF"/>
          <w:lang w:val="en-US" w:eastAsia="zh-CN"/>
        </w:rPr>
        <w:t>人</w:t>
      </w:r>
      <w:r>
        <w:rPr>
          <w:rFonts w:hint="eastAsia" w:ascii="宋体" w:hAnsi="宋体" w:eastAsia="宋体" w:cs="宋体"/>
          <w:color w:val="auto"/>
          <w:kern w:val="0"/>
          <w:sz w:val="28"/>
          <w:szCs w:val="28"/>
          <w:highlight w:val="none"/>
          <w:shd w:val="clear" w:color="auto" w:fill="FFFFFF"/>
        </w:rPr>
        <w:t>图书采访的品种及比例或其他特殊的要求(主要技术指标中提及的七大出版社须能及时组织到90%以上的当年出版书目)，提供经遴选后的书目数据。</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2</w:t>
      </w:r>
      <w:r>
        <w:rPr>
          <w:rFonts w:hint="eastAsia" w:ascii="宋体" w:hAnsi="宋体" w:eastAsia="宋体" w:cs="宋体"/>
          <w:color w:val="auto"/>
          <w:kern w:val="0"/>
          <w:sz w:val="28"/>
          <w:szCs w:val="28"/>
          <w:highlight w:val="none"/>
          <w:shd w:val="clear" w:color="auto" w:fill="FFFFFF"/>
          <w:lang w:val="en-US" w:eastAsia="zh-CN"/>
        </w:rPr>
        <w:t>.</w:t>
      </w:r>
      <w:r>
        <w:rPr>
          <w:rFonts w:hint="eastAsia" w:ascii="宋体" w:hAnsi="宋体" w:cs="宋体"/>
          <w:color w:val="auto"/>
          <w:kern w:val="0"/>
          <w:sz w:val="28"/>
          <w:szCs w:val="28"/>
          <w:highlight w:val="none"/>
          <w:shd w:val="clear" w:color="auto" w:fill="FFFFFF"/>
          <w:lang w:eastAsia="zh-CN"/>
        </w:rPr>
        <w:t>中标人</w:t>
      </w:r>
      <w:r>
        <w:rPr>
          <w:rFonts w:hint="eastAsia" w:ascii="宋体" w:hAnsi="宋体" w:eastAsia="宋体" w:cs="宋体"/>
          <w:color w:val="auto"/>
          <w:kern w:val="0"/>
          <w:sz w:val="28"/>
          <w:szCs w:val="28"/>
          <w:highlight w:val="none"/>
          <w:shd w:val="clear" w:color="auto" w:fill="FFFFFF"/>
        </w:rPr>
        <w:t>须提供标准CNMARC采访数据，中文图书的采访数据应包含下列字段：国际标准书号、书目征订号、题名、责任者、出版社、出版时间、单价等。</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3</w:t>
      </w:r>
      <w:r>
        <w:rPr>
          <w:rFonts w:hint="eastAsia" w:ascii="宋体" w:hAnsi="宋体" w:eastAsia="宋体" w:cs="宋体"/>
          <w:color w:val="auto"/>
          <w:kern w:val="0"/>
          <w:sz w:val="28"/>
          <w:szCs w:val="28"/>
          <w:highlight w:val="none"/>
          <w:shd w:val="clear" w:color="auto" w:fill="FFFFFF"/>
          <w:lang w:val="en-US" w:eastAsia="zh-CN"/>
        </w:rPr>
        <w:t>.</w:t>
      </w:r>
      <w:r>
        <w:rPr>
          <w:rFonts w:hint="eastAsia" w:ascii="宋体" w:hAnsi="宋体" w:cs="宋体"/>
          <w:color w:val="auto"/>
          <w:kern w:val="0"/>
          <w:sz w:val="28"/>
          <w:szCs w:val="28"/>
          <w:highlight w:val="none"/>
          <w:shd w:val="clear" w:color="auto" w:fill="FFFFFF"/>
          <w:lang w:eastAsia="zh-CN"/>
        </w:rPr>
        <w:t>中标人</w:t>
      </w:r>
      <w:r>
        <w:rPr>
          <w:rFonts w:hint="eastAsia" w:ascii="宋体" w:hAnsi="宋体" w:eastAsia="宋体" w:cs="宋体"/>
          <w:color w:val="auto"/>
          <w:kern w:val="0"/>
          <w:sz w:val="28"/>
          <w:szCs w:val="28"/>
          <w:highlight w:val="none"/>
          <w:shd w:val="clear" w:color="auto" w:fill="FFFFFF"/>
        </w:rPr>
        <w:t>提供的必须是正版图书，一旦发现盗版，将按图书码洋的十倍予以赔付，并承担相应责任，</w:t>
      </w:r>
      <w:r>
        <w:rPr>
          <w:rFonts w:hint="eastAsia" w:ascii="宋体" w:hAnsi="宋体" w:cs="宋体"/>
          <w:color w:val="auto"/>
          <w:kern w:val="0"/>
          <w:sz w:val="28"/>
          <w:szCs w:val="28"/>
          <w:highlight w:val="none"/>
          <w:shd w:val="clear" w:color="auto" w:fill="FFFFFF"/>
          <w:lang w:eastAsia="zh-CN"/>
        </w:rPr>
        <w:t>招标人</w:t>
      </w:r>
      <w:r>
        <w:rPr>
          <w:rFonts w:hint="eastAsia" w:ascii="宋体" w:hAnsi="宋体" w:eastAsia="宋体" w:cs="宋体"/>
          <w:color w:val="auto"/>
          <w:kern w:val="0"/>
          <w:sz w:val="28"/>
          <w:szCs w:val="28"/>
          <w:highlight w:val="none"/>
          <w:shd w:val="clear" w:color="auto" w:fill="FFFFFF"/>
        </w:rPr>
        <w:t>有权立即终止合同。</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kern w:val="0"/>
          <w:sz w:val="28"/>
          <w:szCs w:val="28"/>
          <w:highlight w:val="none"/>
          <w:shd w:val="clear" w:color="auto" w:fill="FFFFFF"/>
        </w:rPr>
        <w:t>4</w:t>
      </w:r>
      <w:r>
        <w:rPr>
          <w:rFonts w:hint="eastAsia" w:ascii="宋体" w:hAnsi="宋体" w:eastAsia="宋体" w:cs="宋体"/>
          <w:color w:val="auto"/>
          <w:kern w:val="0"/>
          <w:sz w:val="28"/>
          <w:szCs w:val="28"/>
          <w:highlight w:val="none"/>
          <w:shd w:val="clear" w:color="auto" w:fill="FFFFFF"/>
          <w:lang w:val="en-US" w:eastAsia="zh-CN"/>
        </w:rPr>
        <w:t>.</w:t>
      </w:r>
      <w:r>
        <w:rPr>
          <w:rFonts w:hint="eastAsia" w:ascii="宋体" w:hAnsi="宋体" w:cs="宋体"/>
          <w:color w:val="auto"/>
          <w:kern w:val="0"/>
          <w:sz w:val="28"/>
          <w:szCs w:val="28"/>
          <w:highlight w:val="none"/>
          <w:shd w:val="clear" w:color="auto" w:fill="FFFFFF"/>
          <w:lang w:eastAsia="zh-CN"/>
        </w:rPr>
        <w:t>中标人</w:t>
      </w:r>
      <w:r>
        <w:rPr>
          <w:rFonts w:hint="eastAsia" w:ascii="宋体" w:hAnsi="宋体" w:eastAsia="宋体" w:cs="宋体"/>
          <w:color w:val="auto"/>
          <w:kern w:val="0"/>
          <w:sz w:val="28"/>
          <w:szCs w:val="28"/>
          <w:highlight w:val="none"/>
          <w:shd w:val="clear" w:color="auto" w:fill="FFFFFF"/>
        </w:rPr>
        <w:t>必须提供与</w:t>
      </w:r>
      <w:r>
        <w:rPr>
          <w:rFonts w:hint="eastAsia" w:ascii="宋体" w:hAnsi="宋体" w:cs="宋体"/>
          <w:color w:val="auto"/>
          <w:kern w:val="0"/>
          <w:sz w:val="28"/>
          <w:szCs w:val="28"/>
          <w:highlight w:val="none"/>
          <w:shd w:val="clear" w:color="auto" w:fill="FFFFFF"/>
          <w:lang w:eastAsia="zh-CN"/>
        </w:rPr>
        <w:t>招标人</w:t>
      </w:r>
      <w:r>
        <w:rPr>
          <w:rFonts w:hint="eastAsia" w:ascii="宋体" w:hAnsi="宋体" w:eastAsia="宋体" w:cs="宋体"/>
          <w:color w:val="auto"/>
          <w:kern w:val="0"/>
          <w:sz w:val="28"/>
          <w:szCs w:val="28"/>
          <w:highlight w:val="none"/>
          <w:shd w:val="clear" w:color="auto" w:fill="FFFFFF"/>
        </w:rPr>
        <w:t>挑选书目相一致的图书，</w:t>
      </w:r>
      <w:r>
        <w:rPr>
          <w:rFonts w:hint="eastAsia" w:ascii="宋体" w:hAnsi="宋体" w:cs="宋体"/>
          <w:color w:val="auto"/>
          <w:kern w:val="0"/>
          <w:sz w:val="28"/>
          <w:szCs w:val="28"/>
          <w:highlight w:val="none"/>
          <w:shd w:val="clear" w:color="auto" w:fill="FFFFFF"/>
          <w:lang w:eastAsia="zh-CN"/>
        </w:rPr>
        <w:t>中标人</w:t>
      </w:r>
      <w:r>
        <w:rPr>
          <w:rFonts w:hint="eastAsia" w:ascii="宋体" w:hAnsi="宋体" w:eastAsia="宋体" w:cs="宋体"/>
          <w:color w:val="auto"/>
          <w:kern w:val="0"/>
          <w:sz w:val="28"/>
          <w:szCs w:val="28"/>
          <w:highlight w:val="none"/>
          <w:shd w:val="clear" w:color="auto" w:fill="FFFFFF"/>
        </w:rPr>
        <w:t>不得自行选购。对</w:t>
      </w:r>
      <w:r>
        <w:rPr>
          <w:rFonts w:hint="eastAsia" w:ascii="宋体" w:hAnsi="宋体" w:cs="宋体"/>
          <w:color w:val="auto"/>
          <w:kern w:val="0"/>
          <w:sz w:val="28"/>
          <w:szCs w:val="28"/>
          <w:highlight w:val="none"/>
          <w:shd w:val="clear" w:color="auto" w:fill="FFFFFF"/>
          <w:lang w:eastAsia="zh-CN"/>
        </w:rPr>
        <w:t>招标人</w:t>
      </w:r>
      <w:r>
        <w:rPr>
          <w:rFonts w:hint="eastAsia" w:ascii="宋体" w:hAnsi="宋体" w:eastAsia="宋体" w:cs="宋体"/>
          <w:color w:val="auto"/>
          <w:kern w:val="0"/>
          <w:sz w:val="28"/>
          <w:szCs w:val="28"/>
          <w:highlight w:val="none"/>
          <w:shd w:val="clear" w:color="auto" w:fill="FFFFFF"/>
        </w:rPr>
        <w:t>误订的图书应酌情予以退换。出现以下情况</w:t>
      </w:r>
      <w:r>
        <w:rPr>
          <w:rFonts w:hint="eastAsia" w:ascii="宋体" w:hAnsi="宋体" w:cs="宋体"/>
          <w:color w:val="auto"/>
          <w:kern w:val="0"/>
          <w:sz w:val="28"/>
          <w:szCs w:val="28"/>
          <w:highlight w:val="none"/>
          <w:shd w:val="clear" w:color="auto" w:fill="FFFFFF"/>
          <w:lang w:eastAsia="zh-CN"/>
        </w:rPr>
        <w:t>中标人</w:t>
      </w:r>
      <w:r>
        <w:rPr>
          <w:rFonts w:hint="eastAsia" w:ascii="宋体" w:hAnsi="宋体" w:eastAsia="宋体" w:cs="宋体"/>
          <w:color w:val="auto"/>
          <w:kern w:val="0"/>
          <w:sz w:val="28"/>
          <w:szCs w:val="28"/>
          <w:highlight w:val="none"/>
          <w:shd w:val="clear" w:color="auto" w:fill="FFFFFF"/>
        </w:rPr>
        <w:t>应无条件退回或调换(不论加工与否)：</w:t>
      </w:r>
    </w:p>
    <w:p>
      <w:pPr>
        <w:keepNext w:val="0"/>
        <w:keepLines w:val="0"/>
        <w:pageBreakBefore w:val="0"/>
        <w:tabs>
          <w:tab w:val="left" w:pos="360"/>
        </w:tabs>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（1）随意更换或搭配的图书；</w:t>
      </w:r>
    </w:p>
    <w:p>
      <w:pPr>
        <w:keepNext w:val="0"/>
        <w:keepLines w:val="0"/>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（2）错发和有缺损、缺页、装订、印刷等质量问题的图书；</w:t>
      </w:r>
    </w:p>
    <w:p>
      <w:pPr>
        <w:keepNext w:val="0"/>
        <w:keepLines w:val="0"/>
        <w:pageBreakBefore w:val="0"/>
        <w:tabs>
          <w:tab w:val="left" w:pos="360"/>
        </w:tabs>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（3）因查重障碍或出现查重疑问未及时沟通而导致重复进库的图书；</w:t>
      </w:r>
    </w:p>
    <w:p>
      <w:pPr>
        <w:keepNext w:val="0"/>
        <w:keepLines w:val="0"/>
        <w:pageBreakBefore w:val="0"/>
        <w:tabs>
          <w:tab w:val="left" w:pos="360"/>
        </w:tabs>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（4）套书未能配全，尤其出现下册已送馆而上册还未曾入馆的图书；</w:t>
      </w:r>
    </w:p>
    <w:p>
      <w:pPr>
        <w:keepNext w:val="0"/>
        <w:keepLines w:val="0"/>
        <w:pageBreakBefore w:val="0"/>
        <w:tabs>
          <w:tab w:val="left" w:pos="360"/>
        </w:tabs>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color w:val="auto"/>
          <w:kern w:val="0"/>
          <w:sz w:val="28"/>
          <w:szCs w:val="28"/>
          <w:highlight w:val="none"/>
          <w:shd w:val="clear" w:color="auto" w:fill="FFFFFF"/>
        </w:rPr>
      </w:pPr>
      <w:r>
        <w:rPr>
          <w:rFonts w:hint="eastAsia" w:ascii="宋体" w:hAnsi="宋体" w:eastAsia="宋体" w:cs="宋体"/>
          <w:color w:val="auto"/>
          <w:sz w:val="28"/>
          <w:szCs w:val="28"/>
          <w:highlight w:val="none"/>
        </w:rPr>
        <w:t>（5）图书实际单价与征订单价相差太多（超过20元），且未曾与</w:t>
      </w:r>
      <w:r>
        <w:rPr>
          <w:rFonts w:hint="eastAsia" w:ascii="宋体" w:hAnsi="宋体" w:cs="宋体"/>
          <w:color w:val="auto"/>
          <w:sz w:val="28"/>
          <w:szCs w:val="28"/>
          <w:highlight w:val="none"/>
          <w:lang w:eastAsia="zh-CN"/>
        </w:rPr>
        <w:t>中标人</w:t>
      </w:r>
      <w:r>
        <w:rPr>
          <w:rFonts w:hint="eastAsia" w:ascii="宋体" w:hAnsi="宋体" w:eastAsia="宋体" w:cs="宋体"/>
          <w:color w:val="auto"/>
          <w:sz w:val="28"/>
          <w:szCs w:val="28"/>
          <w:highlight w:val="none"/>
        </w:rPr>
        <w:t>沟通就擅自送馆的图书。</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shd w:val="clear" w:color="auto" w:fill="FFFFFF"/>
        </w:rPr>
        <w:t>5</w:t>
      </w:r>
      <w:r>
        <w:rPr>
          <w:rFonts w:hint="eastAsia" w:ascii="宋体" w:hAnsi="宋体" w:eastAsia="宋体" w:cs="宋体"/>
          <w:color w:val="auto"/>
          <w:kern w:val="0"/>
          <w:sz w:val="28"/>
          <w:szCs w:val="28"/>
          <w:highlight w:val="none"/>
          <w:shd w:val="clear" w:color="auto" w:fill="FFFFFF"/>
          <w:lang w:val="en-US" w:eastAsia="zh-CN"/>
        </w:rPr>
        <w:t>.</w:t>
      </w:r>
      <w:r>
        <w:rPr>
          <w:rFonts w:hint="eastAsia" w:ascii="宋体" w:hAnsi="宋体" w:eastAsia="宋体" w:cs="宋体"/>
          <w:color w:val="auto"/>
          <w:kern w:val="0"/>
          <w:sz w:val="28"/>
          <w:szCs w:val="28"/>
          <w:highlight w:val="none"/>
          <w:shd w:val="clear" w:color="auto" w:fill="FFFFFF"/>
        </w:rPr>
        <w:t>保证</w:t>
      </w:r>
      <w:r>
        <w:rPr>
          <w:rFonts w:hint="eastAsia" w:ascii="宋体" w:hAnsi="宋体" w:cs="宋体"/>
          <w:color w:val="auto"/>
          <w:kern w:val="0"/>
          <w:sz w:val="28"/>
          <w:szCs w:val="28"/>
          <w:highlight w:val="none"/>
          <w:shd w:val="clear" w:color="auto" w:fill="FFFFFF"/>
          <w:lang w:eastAsia="zh-CN"/>
        </w:rPr>
        <w:t>招标人</w:t>
      </w:r>
      <w:r>
        <w:rPr>
          <w:rFonts w:hint="eastAsia" w:ascii="宋体" w:hAnsi="宋体" w:eastAsia="宋体" w:cs="宋体"/>
          <w:color w:val="auto"/>
          <w:kern w:val="0"/>
          <w:sz w:val="28"/>
          <w:szCs w:val="28"/>
          <w:highlight w:val="none"/>
          <w:shd w:val="clear" w:color="auto" w:fill="FFFFFF"/>
        </w:rPr>
        <w:t>所订书目的书源供应，缩短到书周期，保证一定的到书率。现采图书30天到馆，到馆率不得低于90%；预订图书前3个月的到馆率不得低于85%，合同期满不得低于95%，否则视为违约（特殊原因并征得双方同意的除外）；急需图书采购自订单下达后10日内到馆。订购图书在合同到期后中止所订图书的到货。</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shd w:val="clear" w:color="auto" w:fill="FFFFFF"/>
        </w:rPr>
        <w:t>6</w:t>
      </w:r>
      <w:r>
        <w:rPr>
          <w:rFonts w:hint="eastAsia" w:ascii="宋体" w:hAnsi="宋体" w:eastAsia="宋体" w:cs="宋体"/>
          <w:color w:val="auto"/>
          <w:kern w:val="0"/>
          <w:sz w:val="28"/>
          <w:szCs w:val="28"/>
          <w:highlight w:val="none"/>
          <w:shd w:val="clear" w:color="auto" w:fill="FFFFFF"/>
          <w:lang w:val="en-US" w:eastAsia="zh-CN"/>
        </w:rPr>
        <w:t>.</w:t>
      </w:r>
      <w:r>
        <w:rPr>
          <w:rFonts w:hint="eastAsia" w:ascii="宋体" w:hAnsi="宋体" w:eastAsia="宋体" w:cs="宋体"/>
          <w:color w:val="auto"/>
          <w:kern w:val="0"/>
          <w:sz w:val="28"/>
          <w:szCs w:val="28"/>
          <w:highlight w:val="none"/>
          <w:shd w:val="clear" w:color="auto" w:fill="FFFFFF"/>
        </w:rPr>
        <w:t>物流渠道畅通，</w:t>
      </w:r>
      <w:r>
        <w:rPr>
          <w:rFonts w:hint="eastAsia" w:ascii="宋体" w:hAnsi="宋体" w:eastAsia="宋体" w:cs="宋体"/>
          <w:color w:val="auto"/>
          <w:kern w:val="0"/>
          <w:sz w:val="28"/>
          <w:szCs w:val="28"/>
          <w:highlight w:val="none"/>
          <w:u w:val="single"/>
          <w:shd w:val="clear" w:color="auto" w:fill="FFFFFF"/>
        </w:rPr>
        <w:t>图书免费送到我馆指定位置。</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leftChars="0" w:firstLine="560" w:firstLineChars="200"/>
        <w:jc w:val="left"/>
        <w:textAlignment w:val="auto"/>
        <w:rPr>
          <w:rFonts w:hint="default" w:ascii="宋体" w:hAnsi="宋体" w:eastAsia="宋体" w:cs="宋体"/>
          <w:color w:val="auto"/>
          <w:kern w:val="0"/>
          <w:sz w:val="28"/>
          <w:szCs w:val="28"/>
          <w:highlight w:val="none"/>
          <w:shd w:val="clear" w:color="auto" w:fill="FFFFFF"/>
          <w:lang w:val="en-US"/>
        </w:rPr>
      </w:pPr>
      <w:r>
        <w:rPr>
          <w:rFonts w:hint="eastAsia" w:ascii="宋体" w:hAnsi="宋体" w:eastAsia="宋体" w:cs="宋体"/>
          <w:color w:val="auto"/>
          <w:kern w:val="0"/>
          <w:sz w:val="28"/>
          <w:szCs w:val="28"/>
          <w:highlight w:val="none"/>
          <w:shd w:val="clear" w:color="auto" w:fill="FFFFFF"/>
        </w:rPr>
        <w:t>7</w:t>
      </w:r>
      <w:r>
        <w:rPr>
          <w:rFonts w:hint="eastAsia" w:ascii="宋体" w:hAnsi="宋体" w:eastAsia="宋体" w:cs="宋体"/>
          <w:color w:val="auto"/>
          <w:kern w:val="0"/>
          <w:sz w:val="28"/>
          <w:szCs w:val="28"/>
          <w:highlight w:val="none"/>
          <w:shd w:val="clear" w:color="auto" w:fill="FFFFFF"/>
          <w:lang w:val="en-US" w:eastAsia="zh-CN"/>
        </w:rPr>
        <w:t>.</w:t>
      </w:r>
      <w:r>
        <w:rPr>
          <w:rFonts w:hint="eastAsia" w:ascii="宋体" w:hAnsi="宋体" w:eastAsia="宋体" w:cs="宋体"/>
          <w:color w:val="auto"/>
          <w:kern w:val="0"/>
          <w:sz w:val="28"/>
          <w:szCs w:val="28"/>
          <w:highlight w:val="none"/>
          <w:shd w:val="clear" w:color="auto" w:fill="FFFFFF"/>
        </w:rPr>
        <w:t>免费提供贴磁条、贴条码、盖馆藏章</w:t>
      </w:r>
      <w:r>
        <w:rPr>
          <w:rFonts w:hint="eastAsia" w:ascii="宋体" w:hAnsi="宋体" w:cs="宋体"/>
          <w:color w:val="auto"/>
          <w:kern w:val="0"/>
          <w:sz w:val="28"/>
          <w:szCs w:val="28"/>
          <w:highlight w:val="none"/>
          <w:shd w:val="clear" w:color="auto" w:fill="FFFFFF"/>
          <w:lang w:eastAsia="zh-CN"/>
        </w:rPr>
        <w:t>，</w:t>
      </w:r>
      <w:r>
        <w:rPr>
          <w:rFonts w:hint="eastAsia" w:ascii="宋体" w:hAnsi="宋体" w:eastAsia="宋体" w:cs="宋体"/>
          <w:color w:val="auto"/>
          <w:kern w:val="0"/>
          <w:sz w:val="28"/>
          <w:szCs w:val="28"/>
          <w:highlight w:val="none"/>
          <w:shd w:val="clear" w:color="auto" w:fill="FFFFFF"/>
        </w:rPr>
        <w:t>分类、编目、典藏等图书全套远程加工服务</w:t>
      </w:r>
      <w:r>
        <w:rPr>
          <w:rFonts w:hint="eastAsia" w:ascii="宋体" w:hAnsi="宋体" w:cs="宋体"/>
          <w:color w:val="auto"/>
          <w:kern w:val="0"/>
          <w:sz w:val="28"/>
          <w:szCs w:val="28"/>
          <w:highlight w:val="none"/>
          <w:shd w:val="clear" w:color="auto" w:fill="FFFFFF"/>
          <w:lang w:eastAsia="zh-CN"/>
        </w:rPr>
        <w:t>（</w:t>
      </w:r>
      <w:r>
        <w:rPr>
          <w:rFonts w:hint="eastAsia" w:ascii="宋体" w:hAnsi="宋体" w:cs="宋体"/>
          <w:color w:val="auto"/>
          <w:kern w:val="0"/>
          <w:sz w:val="28"/>
          <w:szCs w:val="28"/>
          <w:highlight w:val="none"/>
          <w:shd w:val="clear" w:color="auto" w:fill="FFFFFF"/>
          <w:lang w:val="en-US" w:eastAsia="zh-CN"/>
        </w:rPr>
        <w:t>需</w:t>
      </w:r>
      <w:r>
        <w:rPr>
          <w:rFonts w:hint="eastAsia" w:ascii="宋体" w:hAnsi="宋体" w:eastAsia="宋体" w:cs="宋体"/>
          <w:color w:val="auto"/>
          <w:kern w:val="0"/>
          <w:sz w:val="28"/>
          <w:szCs w:val="28"/>
          <w:highlight w:val="none"/>
          <w:shd w:val="clear" w:color="auto" w:fill="FFFFFF"/>
        </w:rPr>
        <w:t>提供证明材料</w:t>
      </w:r>
      <w:r>
        <w:rPr>
          <w:rFonts w:hint="eastAsia" w:ascii="宋体" w:hAnsi="宋体" w:cs="宋体"/>
          <w:color w:val="auto"/>
          <w:kern w:val="0"/>
          <w:sz w:val="28"/>
          <w:szCs w:val="28"/>
          <w:highlight w:val="none"/>
          <w:shd w:val="clear" w:color="auto" w:fill="FFFFFF"/>
          <w:lang w:eastAsia="zh-CN"/>
        </w:rPr>
        <w:t>，</w:t>
      </w:r>
      <w:r>
        <w:rPr>
          <w:rFonts w:hint="eastAsia" w:ascii="宋体" w:hAnsi="宋体" w:eastAsia="宋体" w:cs="宋体"/>
          <w:color w:val="auto"/>
          <w:kern w:val="0"/>
          <w:sz w:val="28"/>
          <w:szCs w:val="28"/>
          <w:highlight w:val="none"/>
          <w:shd w:val="clear" w:color="auto" w:fill="FFFFFF"/>
          <w:lang w:val="en-US" w:eastAsia="zh-CN"/>
        </w:rPr>
        <w:t>由相关合作馆提供证明材料）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color w:val="auto"/>
          <w:kern w:val="0"/>
          <w:sz w:val="28"/>
          <w:szCs w:val="28"/>
          <w:highlight w:val="none"/>
          <w:shd w:val="clear" w:color="auto" w:fill="FFFFFF"/>
        </w:rPr>
        <w:t>并保证编目数据质量和</w:t>
      </w:r>
      <w:r>
        <w:rPr>
          <w:rFonts w:hint="eastAsia" w:ascii="宋体" w:hAnsi="宋体" w:cs="宋体"/>
          <w:color w:val="auto"/>
          <w:kern w:val="0"/>
          <w:sz w:val="28"/>
          <w:szCs w:val="28"/>
          <w:highlight w:val="none"/>
          <w:shd w:val="clear" w:color="auto" w:fill="FFFFFF"/>
          <w:lang w:eastAsia="zh-CN"/>
        </w:rPr>
        <w:t>招标人</w:t>
      </w:r>
      <w:r>
        <w:rPr>
          <w:rFonts w:hint="eastAsia" w:ascii="宋体" w:hAnsi="宋体" w:eastAsia="宋体" w:cs="宋体"/>
          <w:color w:val="auto"/>
          <w:kern w:val="0"/>
          <w:sz w:val="28"/>
          <w:szCs w:val="28"/>
          <w:highlight w:val="none"/>
          <w:shd w:val="clear" w:color="auto" w:fill="FFFFFF"/>
        </w:rPr>
        <w:t>书目数据库的安全。编目数据必须标准和规范，达到CALIS书目数据标准,符合</w:t>
      </w:r>
      <w:r>
        <w:rPr>
          <w:rFonts w:hint="eastAsia" w:ascii="宋体" w:hAnsi="宋体" w:cs="宋体"/>
          <w:color w:val="auto"/>
          <w:kern w:val="0"/>
          <w:sz w:val="28"/>
          <w:szCs w:val="28"/>
          <w:highlight w:val="none"/>
          <w:shd w:val="clear" w:color="auto" w:fill="FFFFFF"/>
          <w:lang w:eastAsia="zh-CN"/>
        </w:rPr>
        <w:t>招标人</w:t>
      </w:r>
      <w:r>
        <w:rPr>
          <w:rFonts w:hint="eastAsia" w:ascii="宋体" w:hAnsi="宋体" w:eastAsia="宋体" w:cs="宋体"/>
          <w:color w:val="auto"/>
          <w:kern w:val="0"/>
          <w:sz w:val="28"/>
          <w:szCs w:val="28"/>
          <w:highlight w:val="none"/>
          <w:shd w:val="clear" w:color="auto" w:fill="FFFFFF"/>
        </w:rPr>
        <w:t>目录体系的要求。</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kern w:val="0"/>
          <w:sz w:val="28"/>
          <w:szCs w:val="28"/>
          <w:highlight w:val="none"/>
          <w:lang w:val="en-US" w:eastAsia="zh-CN" w:bidi="ar-SA"/>
        </w:rPr>
        <w:t>六、</w:t>
      </w:r>
      <w:r>
        <w:rPr>
          <w:rFonts w:hint="eastAsia" w:ascii="宋体" w:hAnsi="宋体" w:eastAsia="宋体" w:cs="宋体"/>
          <w:b/>
          <w:color w:val="auto"/>
          <w:sz w:val="28"/>
          <w:szCs w:val="28"/>
          <w:highlight w:val="none"/>
          <w:lang w:val="en-US" w:eastAsia="zh-CN"/>
        </w:rPr>
        <w:t>付款方式</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按项目合同主要条款规定的期限和方式付款结算；（所购图书到馆按要求完成加工等工作后，按批次对照合同要求验收、核对无误后，以银行汇付。发票需注明图书册数、码洋、折扣和实付金额，付款按照实付金额进行汇付。合同履行完毕后无任何违约问题，一次性无息退还履约保证金）。</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2.根据现行税法对甲方征收的与项目委托服务合同有关的一切税费均由甲方承担；根据现行税法对乙方征收的与项目委托服务合同有关的一切税费均由乙方承担。</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3.最终的结算方式，以双方就本项目服务而签订的采购合同为准。</w:t>
      </w:r>
    </w:p>
    <w:p>
      <w:pPr>
        <w:keepNext w:val="0"/>
        <w:keepLines w:val="0"/>
        <w:pageBreakBefore w:val="0"/>
        <w:widowControl w:val="0"/>
        <w:kinsoku/>
        <w:wordWrap/>
        <w:overflowPunct/>
        <w:topLinePunct w:val="0"/>
        <w:autoSpaceDE/>
        <w:autoSpaceDN/>
        <w:bidi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（十）履约保证金：</w:t>
      </w:r>
    </w:p>
    <w:p>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成交供应商需于中标后签订合同前按合同总价款的5 %支付给采购人履约保证金（转至采购人指定账户。户名：南通市财政局，账号：100293219730016666，开户行：中国邮政储蓄银行南通市分行，备注（务必填写）：南通职业大学2024年中文纸质图书采购项目履约保证金。）</w:t>
      </w:r>
      <w:r>
        <w:rPr>
          <w:rFonts w:hint="eastAsia" w:ascii="宋体" w:hAnsi="宋体" w:eastAsia="宋体" w:cs="宋体"/>
          <w:color w:val="auto"/>
          <w:sz w:val="28"/>
          <w:szCs w:val="28"/>
          <w:highlight w:val="none"/>
        </w:rPr>
        <w:t>，成交供应商凭成交通知书与采购单位签订合同。超期或未有协商，则视为自动放弃成交资格。</w:t>
      </w:r>
      <w:r>
        <w:rPr>
          <w:rFonts w:hint="eastAsia" w:ascii="宋体" w:hAnsi="宋体" w:eastAsia="宋体" w:cs="宋体"/>
          <w:color w:val="auto"/>
          <w:sz w:val="28"/>
          <w:szCs w:val="28"/>
          <w:highlight w:val="none"/>
        </w:rPr>
        <w:cr/>
      </w:r>
      <w:r>
        <w:rPr>
          <w:rFonts w:hint="eastAsia" w:ascii="宋体" w:hAnsi="宋体" w:eastAsia="宋体" w:cs="宋体"/>
          <w:color w:val="auto"/>
          <w:sz w:val="28"/>
          <w:szCs w:val="28"/>
          <w:highlight w:val="none"/>
        </w:rPr>
        <w:t xml:space="preserve">    2.中标供应商在按要求保质保量的完成该项目合同并通过验收后，采购单位凭中标供应商提交的申请，一次性无息退还该合同项目的履约保证金。</w:t>
      </w:r>
      <w:r>
        <w:rPr>
          <w:rFonts w:hint="eastAsia" w:ascii="宋体" w:hAnsi="宋体" w:eastAsia="宋体" w:cs="宋体"/>
          <w:color w:val="auto"/>
          <w:sz w:val="28"/>
          <w:szCs w:val="28"/>
          <w:highlight w:val="none"/>
        </w:rPr>
        <w:cr/>
      </w:r>
      <w:r>
        <w:rPr>
          <w:rFonts w:hint="eastAsia" w:ascii="宋体" w:hAnsi="宋体" w:eastAsia="宋体" w:cs="宋体"/>
          <w:color w:val="auto"/>
          <w:sz w:val="28"/>
          <w:szCs w:val="28"/>
          <w:highlight w:val="none"/>
        </w:rPr>
        <w:t xml:space="preserve">    3.发生以下情况的，履约保证金不予退还或部分退还：</w:t>
      </w:r>
      <w:r>
        <w:rPr>
          <w:rFonts w:hint="eastAsia" w:ascii="宋体" w:hAnsi="宋体" w:eastAsia="宋体" w:cs="宋体"/>
          <w:color w:val="auto"/>
          <w:sz w:val="28"/>
          <w:szCs w:val="28"/>
          <w:highlight w:val="none"/>
        </w:rPr>
        <w:cr/>
      </w:r>
      <w:r>
        <w:rPr>
          <w:rFonts w:hint="eastAsia" w:ascii="宋体" w:hAnsi="宋体" w:eastAsia="宋体" w:cs="宋体"/>
          <w:color w:val="auto"/>
          <w:sz w:val="28"/>
          <w:szCs w:val="28"/>
          <w:highlight w:val="none"/>
        </w:rPr>
        <w:t xml:space="preserve">    a.签订合同后，成交供应商不履行合同义务的，采购单位有权全额扣除履约保证金，全额不予退还，同时采购单位亦有权终止合同，中标供应商还须承担相应的法律赔偿责任。</w:t>
      </w:r>
    </w:p>
    <w:p>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b.成交供应商在履约过程中发生违约行为，给采购单位造成损失的，采购单位有权在成交供应商缴纳的履约保证金中予以扣款，以弥补采购单位经济损失，不足的部分成交供应商另外补齐。</w:t>
      </w:r>
    </w:p>
    <w:p>
      <w:pPr>
        <w:ind w:firstLine="420" w:firstLineChars="200"/>
        <w:rPr>
          <w:color w:val="auto"/>
          <w:highlight w:val="none"/>
        </w:rPr>
      </w:pPr>
    </w:p>
    <w:p>
      <w:pPr>
        <w:adjustRightInd w:val="0"/>
        <w:snapToGrid w:val="0"/>
        <w:spacing w:line="460" w:lineRule="exact"/>
        <w:ind w:firstLine="560" w:firstLineChars="200"/>
        <w:rPr>
          <w:rFonts w:ascii="宋体" w:hAnsi="宋体" w:cs="宋体"/>
          <w:color w:val="auto"/>
          <w:sz w:val="28"/>
          <w:szCs w:val="28"/>
          <w:highlight w:val="none"/>
        </w:rPr>
      </w:pPr>
    </w:p>
    <w:p>
      <w:pPr>
        <w:spacing w:line="500" w:lineRule="exact"/>
        <w:contextualSpacing/>
        <w:jc w:val="center"/>
        <w:rPr>
          <w:rFonts w:ascii="宋体" w:hAnsi="宋体" w:cs="宋体"/>
          <w:bCs/>
          <w:color w:val="auto"/>
          <w:sz w:val="36"/>
          <w:szCs w:val="36"/>
          <w:highlight w:val="none"/>
        </w:rPr>
      </w:pPr>
      <w:r>
        <w:rPr>
          <w:rFonts w:hint="eastAsia" w:ascii="宋体" w:hAnsi="宋体" w:cs="宋体"/>
          <w:bCs/>
          <w:color w:val="auto"/>
          <w:sz w:val="36"/>
          <w:szCs w:val="36"/>
          <w:highlight w:val="none"/>
        </w:rPr>
        <w:br w:type="page"/>
      </w:r>
      <w:r>
        <w:rPr>
          <w:rFonts w:hint="eastAsia" w:ascii="宋体" w:hAnsi="宋体" w:cs="宋体"/>
          <w:b/>
          <w:color w:val="auto"/>
          <w:sz w:val="36"/>
          <w:szCs w:val="36"/>
          <w:highlight w:val="none"/>
        </w:rPr>
        <w:t>第四部分  开标和评标</w:t>
      </w:r>
    </w:p>
    <w:p>
      <w:pPr>
        <w:pStyle w:val="87"/>
        <w:snapToGrid w:val="0"/>
        <w:spacing w:before="0" w:after="0" w:line="420" w:lineRule="exact"/>
        <w:ind w:left="0" w:right="0" w:firstLine="562" w:firstLineChars="200"/>
        <w:jc w:val="left"/>
        <w:rPr>
          <w:rFonts w:ascii="宋体" w:hAnsi="宋体" w:cs="宋体"/>
          <w:b/>
          <w:color w:val="auto"/>
          <w:kern w:val="2"/>
          <w:sz w:val="28"/>
          <w:szCs w:val="28"/>
          <w:highlight w:val="none"/>
        </w:rPr>
      </w:pPr>
      <w:r>
        <w:rPr>
          <w:rFonts w:hint="eastAsia" w:ascii="宋体" w:hAnsi="宋体" w:cs="宋体"/>
          <w:b/>
          <w:color w:val="auto"/>
          <w:kern w:val="2"/>
          <w:sz w:val="28"/>
          <w:szCs w:val="28"/>
          <w:highlight w:val="none"/>
        </w:rPr>
        <w:t>一、开标</w:t>
      </w:r>
    </w:p>
    <w:p>
      <w:pPr>
        <w:tabs>
          <w:tab w:val="left" w:pos="3585"/>
        </w:tabs>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见面开标模式：投标人在指定地点参加开标会。</w:t>
      </w:r>
    </w:p>
    <w:p>
      <w:pPr>
        <w:pStyle w:val="87"/>
        <w:snapToGrid w:val="0"/>
        <w:spacing w:before="0" w:after="0" w:line="420" w:lineRule="exact"/>
        <w:ind w:left="0" w:right="0" w:firstLine="562" w:firstLineChars="200"/>
        <w:jc w:val="left"/>
        <w:rPr>
          <w:rFonts w:ascii="宋体" w:hAnsi="宋体" w:cs="宋体"/>
          <w:b/>
          <w:color w:val="auto"/>
          <w:kern w:val="2"/>
          <w:sz w:val="28"/>
          <w:szCs w:val="28"/>
          <w:highlight w:val="none"/>
        </w:rPr>
      </w:pPr>
      <w:r>
        <w:rPr>
          <w:rFonts w:hint="eastAsia" w:ascii="宋体" w:hAnsi="宋体" w:cs="宋体"/>
          <w:b/>
          <w:color w:val="auto"/>
          <w:kern w:val="2"/>
          <w:sz w:val="28"/>
          <w:szCs w:val="28"/>
          <w:highlight w:val="none"/>
        </w:rPr>
        <w:t>二、评标流程和评标标准</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采用综合评分法。分资格审查、商务技术文件、价格文件、三部分评审，总分值为100分，加分和减分因素除外。</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首先由招标人对投标人资格进行审查，然后评标委员会对符合资格的投标人的投标文件进行符合性审查，最后评标委员会对符合性审查合格的投标文件商务、技术部分进行评估，综合比较与评价。待商务技术文件评审结束后，进行价格文件的开启、评审。投标人商务、技术部分和价格部分的合计分值，为该投标人的评标总得分。</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评标结果按评审后得分由高到低顺序排列。得分相同的，按投标报价由低到高顺序排列。得分且投标报价相同的并列。投标文件满足招标文件全部实质性要求，且按照评审因素的量化指标评审得分前三名的投标人为中标候选人。</w:t>
      </w:r>
    </w:p>
    <w:p>
      <w:pPr>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评委在认真审阅投标文件的基础上，根据各投标文件的响应程度独立评判，不得统一打分。</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baseline"/>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本项目共设有</w:t>
      </w:r>
      <w:r>
        <w:rPr>
          <w:rFonts w:hint="eastAsia" w:ascii="宋体" w:hAnsi="宋体" w:eastAsia="宋体" w:cs="宋体"/>
          <w:b/>
          <w:bCs/>
          <w:color w:val="auto"/>
          <w:sz w:val="28"/>
          <w:szCs w:val="28"/>
          <w:highlight w:val="none"/>
          <w:lang w:val="en-US" w:eastAsia="zh-CN"/>
        </w:rPr>
        <w:t>两</w:t>
      </w:r>
      <w:r>
        <w:rPr>
          <w:rFonts w:hint="eastAsia" w:ascii="宋体" w:hAnsi="宋体" w:eastAsia="宋体" w:cs="宋体"/>
          <w:b/>
          <w:bCs/>
          <w:color w:val="auto"/>
          <w:sz w:val="28"/>
          <w:szCs w:val="28"/>
          <w:highlight w:val="none"/>
        </w:rPr>
        <w:t>个标段，</w:t>
      </w:r>
      <w:r>
        <w:rPr>
          <w:rFonts w:hint="eastAsia" w:ascii="宋体" w:hAnsi="宋体" w:eastAsia="宋体" w:cs="宋体"/>
          <w:b/>
          <w:bCs/>
          <w:color w:val="auto"/>
          <w:sz w:val="28"/>
          <w:szCs w:val="28"/>
          <w:highlight w:val="none"/>
          <w:lang w:eastAsia="zh-CN"/>
        </w:rPr>
        <w:t>有能力参加多个标段投标的供应商请分别按标段投标。每个投标供应商可申请参与上述壹个或</w:t>
      </w:r>
      <w:r>
        <w:rPr>
          <w:rFonts w:hint="eastAsia" w:ascii="宋体" w:hAnsi="宋体" w:eastAsia="宋体" w:cs="宋体"/>
          <w:b/>
          <w:bCs/>
          <w:color w:val="auto"/>
          <w:sz w:val="28"/>
          <w:szCs w:val="28"/>
          <w:highlight w:val="none"/>
          <w:lang w:val="en-US" w:eastAsia="zh-CN"/>
        </w:rPr>
        <w:t>两</w:t>
      </w:r>
      <w:r>
        <w:rPr>
          <w:rFonts w:hint="eastAsia" w:ascii="宋体" w:hAnsi="宋体" w:eastAsia="宋体" w:cs="宋体"/>
          <w:b/>
          <w:bCs/>
          <w:color w:val="auto"/>
          <w:sz w:val="28"/>
          <w:szCs w:val="28"/>
          <w:highlight w:val="none"/>
          <w:lang w:eastAsia="zh-CN"/>
        </w:rPr>
        <w:t>个标段投标，可同时</w:t>
      </w:r>
      <w:r>
        <w:rPr>
          <w:rFonts w:hint="eastAsia" w:ascii="宋体" w:hAnsi="宋体" w:eastAsia="宋体" w:cs="宋体"/>
          <w:b/>
          <w:bCs/>
          <w:color w:val="auto"/>
          <w:sz w:val="28"/>
          <w:szCs w:val="28"/>
          <w:highlight w:val="none"/>
          <w:lang w:val="en-US" w:eastAsia="zh-CN"/>
        </w:rPr>
        <w:t>兼中两个</w:t>
      </w:r>
      <w:r>
        <w:rPr>
          <w:rFonts w:hint="eastAsia" w:ascii="宋体" w:hAnsi="宋体" w:eastAsia="宋体" w:cs="宋体"/>
          <w:b/>
          <w:bCs/>
          <w:color w:val="auto"/>
          <w:sz w:val="28"/>
          <w:szCs w:val="28"/>
          <w:highlight w:val="none"/>
          <w:lang w:eastAsia="zh-CN"/>
        </w:rPr>
        <w:t>标段。</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标段一</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中文正版特价书</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baseline"/>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标段二</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中文正版正价书</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baseline"/>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本项目开标顺序：</w:t>
      </w:r>
    </w:p>
    <w:p>
      <w:pPr>
        <w:keepNext w:val="0"/>
        <w:keepLines w:val="0"/>
        <w:pageBreakBefore w:val="0"/>
        <w:widowControl w:val="0"/>
        <w:kinsoku/>
        <w:wordWrap/>
        <w:overflowPunct/>
        <w:topLinePunct w:val="0"/>
        <w:autoSpaceDE/>
        <w:autoSpaceDN/>
        <w:bidi w:val="0"/>
        <w:adjustRightInd w:val="0"/>
        <w:snapToGrid w:val="0"/>
        <w:spacing w:line="460" w:lineRule="exact"/>
        <w:ind w:firstLine="562" w:firstLineChars="200"/>
        <w:jc w:val="left"/>
        <w:textAlignment w:val="baseline"/>
        <w:rPr>
          <w:rFonts w:hint="eastAsia" w:ascii="仿宋" w:hAnsi="仿宋" w:eastAsia="仿宋" w:cs="仿宋"/>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标段一→标段二</w:t>
      </w:r>
    </w:p>
    <w:p>
      <w:pPr>
        <w:adjustRightInd w:val="0"/>
        <w:snapToGrid w:val="0"/>
        <w:spacing w:line="42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（一）招标人（代表）对投标人资格进行审查。</w:t>
      </w:r>
    </w:p>
    <w:p>
      <w:pPr>
        <w:pStyle w:val="91"/>
        <w:adjustRightInd w:val="0"/>
        <w:snapToGrid w:val="0"/>
        <w:spacing w:line="420" w:lineRule="exact"/>
        <w:ind w:firstLine="560" w:firstLineChars="200"/>
        <w:rPr>
          <w:rFonts w:ascii="宋体" w:eastAsia="宋体" w:cs="宋体"/>
          <w:color w:val="auto"/>
          <w:sz w:val="28"/>
          <w:highlight w:val="none"/>
        </w:rPr>
      </w:pPr>
      <w:r>
        <w:rPr>
          <w:rFonts w:hint="eastAsia" w:ascii="宋体" w:eastAsia="宋体" w:cs="宋体"/>
          <w:color w:val="auto"/>
          <w:sz w:val="28"/>
          <w:highlight w:val="none"/>
        </w:rPr>
        <w:t>投标人资格不合格的，其投标文件判定为无效投标文件。</w:t>
      </w:r>
    </w:p>
    <w:p>
      <w:pPr>
        <w:adjustRightInd w:val="0"/>
        <w:snapToGrid w:val="0"/>
        <w:spacing w:line="420" w:lineRule="exact"/>
        <w:ind w:firstLine="562" w:firstLineChars="200"/>
        <w:jc w:val="left"/>
        <w:rPr>
          <w:rFonts w:ascii="宋体" w:hAnsi="宋体" w:cs="宋体"/>
          <w:b/>
          <w:color w:val="auto"/>
          <w:sz w:val="28"/>
          <w:szCs w:val="28"/>
          <w:highlight w:val="none"/>
        </w:rPr>
      </w:pPr>
      <w:r>
        <w:rPr>
          <w:rFonts w:hint="eastAsia" w:ascii="宋体" w:hAnsi="宋体" w:cs="宋体"/>
          <w:b/>
          <w:color w:val="auto"/>
          <w:sz w:val="28"/>
          <w:szCs w:val="28"/>
          <w:highlight w:val="none"/>
        </w:rPr>
        <w:t>（二）评标委员会对符合资格投标人的投标文件进行符合性审查。</w:t>
      </w:r>
    </w:p>
    <w:p>
      <w:pPr>
        <w:pStyle w:val="91"/>
        <w:adjustRightInd w:val="0"/>
        <w:snapToGrid w:val="0"/>
        <w:spacing w:line="420" w:lineRule="exact"/>
        <w:ind w:firstLine="560" w:firstLineChars="200"/>
        <w:rPr>
          <w:rFonts w:ascii="宋体" w:eastAsia="宋体" w:cs="宋体"/>
          <w:color w:val="auto"/>
          <w:sz w:val="28"/>
          <w:highlight w:val="none"/>
        </w:rPr>
      </w:pPr>
      <w:r>
        <w:rPr>
          <w:rFonts w:hint="eastAsia" w:ascii="宋体" w:eastAsia="宋体" w:cs="宋体"/>
          <w:color w:val="auto"/>
          <w:sz w:val="28"/>
          <w:highlight w:val="none"/>
        </w:rPr>
        <w:t xml:space="preserve">未通过符合性审查的投标文件，将被判为不满足招标文件实质性要求。 </w:t>
      </w:r>
    </w:p>
    <w:p>
      <w:pPr>
        <w:adjustRightInd w:val="0"/>
        <w:snapToGrid w:val="0"/>
        <w:spacing w:line="420" w:lineRule="exact"/>
        <w:ind w:firstLine="562" w:firstLineChars="200"/>
        <w:jc w:val="left"/>
        <w:rPr>
          <w:rFonts w:ascii="宋体" w:hAnsi="宋体" w:cs="宋体"/>
          <w:color w:val="auto"/>
          <w:kern w:val="0"/>
          <w:sz w:val="28"/>
          <w:szCs w:val="28"/>
          <w:highlight w:val="none"/>
          <w:lang w:bidi="ar"/>
        </w:rPr>
      </w:pP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zh-CN"/>
        </w:rPr>
        <w:t>三</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zh-CN"/>
        </w:rPr>
        <w:t>商务技术分</w:t>
      </w:r>
      <w:r>
        <w:rPr>
          <w:rFonts w:hint="eastAsia" w:ascii="宋体" w:hAnsi="宋体" w:cs="宋体"/>
          <w:color w:val="auto"/>
          <w:kern w:val="0"/>
          <w:sz w:val="28"/>
          <w:szCs w:val="28"/>
          <w:highlight w:val="none"/>
          <w:lang w:bidi="ar"/>
        </w:rPr>
        <w:t>：</w:t>
      </w:r>
      <w:r>
        <w:rPr>
          <w:rFonts w:hint="eastAsia" w:ascii="宋体" w:hAnsi="宋体" w:cs="宋体"/>
          <w:color w:val="auto"/>
          <w:kern w:val="0"/>
          <w:sz w:val="28"/>
          <w:szCs w:val="28"/>
          <w:highlight w:val="none"/>
          <w:lang w:val="en-US" w:eastAsia="zh-CN" w:bidi="ar"/>
        </w:rPr>
        <w:t>5</w:t>
      </w:r>
      <w:r>
        <w:rPr>
          <w:rFonts w:hint="eastAsia" w:ascii="宋体" w:hAnsi="宋体" w:cs="宋体"/>
          <w:color w:val="auto"/>
          <w:kern w:val="0"/>
          <w:sz w:val="28"/>
          <w:szCs w:val="28"/>
          <w:highlight w:val="none"/>
          <w:lang w:bidi="ar"/>
        </w:rPr>
        <w:t>0分</w:t>
      </w:r>
    </w:p>
    <w:p>
      <w:pPr>
        <w:autoSpaceDE w:val="0"/>
        <w:autoSpaceDN w:val="0"/>
        <w:adjustRightInd w:val="0"/>
        <w:snapToGrid w:val="0"/>
        <w:spacing w:line="4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各投标人得分为评委会成员评分的算术平均分，分值保留小数点后两位。</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185"/>
        <w:gridCol w:w="744"/>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436"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3376"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技术标</w:t>
            </w:r>
          </w:p>
        </w:tc>
        <w:tc>
          <w:tcPr>
            <w:tcW w:w="695"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    力</w:t>
            </w:r>
          </w:p>
        </w:tc>
        <w:tc>
          <w:tcPr>
            <w:tcW w:w="436"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3376"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投标供应商</w:t>
            </w:r>
            <w:r>
              <w:rPr>
                <w:rFonts w:hint="eastAsia" w:ascii="宋体" w:hAnsi="宋体" w:eastAsia="宋体" w:cs="宋体"/>
                <w:color w:val="auto"/>
                <w:sz w:val="24"/>
                <w:szCs w:val="24"/>
                <w:highlight w:val="none"/>
              </w:rPr>
              <w:t>必须提供以下出版社的代理资质证明：高等教育出版社、清华大学出版社、人民邮电出版社、电子工业出版社、机械工业出版社、化学工业出版社、中国建筑工业出版社等。每提供一个代理资质证明得1分，最高得分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eastAsia" w:ascii="宋体" w:hAnsi="宋体" w:eastAsia="宋体" w:cs="宋体"/>
                <w:b/>
                <w:color w:val="auto"/>
                <w:sz w:val="24"/>
                <w:szCs w:val="24"/>
                <w:highlight w:val="none"/>
              </w:rPr>
            </w:pPr>
          </w:p>
        </w:tc>
        <w:tc>
          <w:tcPr>
            <w:tcW w:w="695"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    绩</w:t>
            </w:r>
          </w:p>
        </w:tc>
        <w:tc>
          <w:tcPr>
            <w:tcW w:w="436"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28</w:t>
            </w:r>
          </w:p>
        </w:tc>
        <w:tc>
          <w:tcPr>
            <w:tcW w:w="3376" w:type="pc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自202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年2月1日以来（以合同签订时间为准）与各类高校合作</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0所及以上的得</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分，少于</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w:t>
            </w:r>
            <w:r>
              <w:rPr>
                <w:rFonts w:hint="eastAsia" w:ascii="宋体" w:hAnsi="宋体" w:cs="宋体"/>
                <w:color w:val="auto"/>
                <w:sz w:val="24"/>
                <w:highlight w:val="none"/>
                <w:lang w:eastAsia="zh-Hans"/>
              </w:rPr>
              <w:t>所得</w:t>
            </w:r>
            <w:r>
              <w:rPr>
                <w:rFonts w:hint="eastAsia" w:ascii="宋体" w:hAnsi="宋体" w:cs="宋体"/>
                <w:color w:val="auto"/>
                <w:sz w:val="24"/>
                <w:highlight w:val="none"/>
              </w:rPr>
              <w:t>0分，</w:t>
            </w:r>
            <w:r>
              <w:rPr>
                <w:rFonts w:hint="eastAsia" w:ascii="宋体" w:hAnsi="宋体" w:cs="宋体"/>
                <w:color w:val="auto"/>
                <w:sz w:val="24"/>
                <w:highlight w:val="none"/>
                <w:lang w:val="en-US" w:eastAsia="zh-CN"/>
              </w:rPr>
              <w:t>超过30所每增加一所加0.5分，最高得分28分。</w:t>
            </w:r>
            <w:r>
              <w:rPr>
                <w:rFonts w:hint="eastAsia" w:ascii="宋体" w:hAnsi="宋体" w:eastAsia="宋体" w:cs="宋体"/>
                <w:color w:val="auto"/>
                <w:sz w:val="24"/>
                <w:szCs w:val="24"/>
                <w:highlight w:val="none"/>
              </w:rPr>
              <w:t>（投标供应商成功案例合同</w:t>
            </w:r>
            <w:r>
              <w:rPr>
                <w:rFonts w:hint="eastAsia" w:ascii="宋体" w:hAnsi="宋体" w:cs="宋体"/>
                <w:color w:val="auto"/>
                <w:sz w:val="24"/>
                <w:szCs w:val="24"/>
                <w:highlight w:val="none"/>
                <w:lang w:val="en-US" w:eastAsia="zh-CN"/>
              </w:rPr>
              <w:t>复印件加盖公章</w:t>
            </w:r>
            <w:r>
              <w:rPr>
                <w:rFonts w:hint="eastAsia" w:ascii="宋体" w:hAnsi="宋体"/>
                <w:b/>
                <w:bCs/>
                <w:color w:val="auto"/>
                <w:sz w:val="24"/>
                <w:highlight w:val="none"/>
                <w:lang w:val="en-US" w:eastAsia="zh-CN"/>
              </w:rPr>
              <w:t>,</w:t>
            </w:r>
            <w:r>
              <w:rPr>
                <w:rFonts w:hint="eastAsia" w:ascii="宋体" w:hAnsi="宋体" w:eastAsia="宋体" w:cs="宋体"/>
                <w:color w:val="auto"/>
                <w:sz w:val="24"/>
                <w:szCs w:val="24"/>
                <w:highlight w:val="none"/>
              </w:rPr>
              <w:t>业务属于同一合作单位一年内多个合同按一个计算）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eastAsia" w:ascii="宋体" w:hAnsi="宋体" w:eastAsia="宋体" w:cs="宋体"/>
                <w:b/>
                <w:color w:val="auto"/>
                <w:sz w:val="24"/>
                <w:szCs w:val="24"/>
                <w:highlight w:val="none"/>
              </w:rPr>
            </w:pPr>
          </w:p>
        </w:tc>
        <w:tc>
          <w:tcPr>
            <w:tcW w:w="695"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荣   誉</w:t>
            </w:r>
          </w:p>
        </w:tc>
        <w:tc>
          <w:tcPr>
            <w:tcW w:w="436"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3376"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提供2021</w:t>
            </w:r>
            <w:r>
              <w:rPr>
                <w:rFonts w:hint="eastAsia" w:ascii="宋体" w:hAnsi="宋体" w:eastAsia="宋体" w:cs="宋体"/>
                <w:color w:val="auto"/>
                <w:sz w:val="24"/>
                <w:szCs w:val="24"/>
                <w:highlight w:val="none"/>
                <w:lang w:eastAsia="zh-Hans"/>
              </w:rPr>
              <w:t>年</w:t>
            </w:r>
            <w:r>
              <w:rPr>
                <w:rFonts w:hint="eastAsia" w:ascii="宋体" w:hAnsi="宋体" w:eastAsia="宋体" w:cs="宋体"/>
                <w:color w:val="auto"/>
                <w:sz w:val="24"/>
                <w:szCs w:val="24"/>
                <w:highlight w:val="none"/>
              </w:rPr>
              <w:t>1月1日</w:t>
            </w:r>
            <w:r>
              <w:rPr>
                <w:rFonts w:hint="eastAsia" w:ascii="宋体" w:hAnsi="宋体" w:eastAsia="宋体" w:cs="宋体"/>
                <w:color w:val="auto"/>
                <w:sz w:val="24"/>
                <w:szCs w:val="24"/>
                <w:highlight w:val="none"/>
                <w:lang w:eastAsia="zh-Hans"/>
              </w:rPr>
              <w:t>以来</w:t>
            </w:r>
            <w:r>
              <w:rPr>
                <w:rFonts w:hint="eastAsia" w:ascii="宋体" w:hAnsi="宋体" w:eastAsia="宋体" w:cs="宋体"/>
                <w:color w:val="auto"/>
                <w:sz w:val="24"/>
                <w:szCs w:val="24"/>
                <w:highlight w:val="none"/>
              </w:rPr>
              <w:t>在本行业获得的荣誉证书，国家级</w:t>
            </w:r>
            <w:r>
              <w:rPr>
                <w:rFonts w:hint="eastAsia" w:ascii="宋体" w:hAnsi="宋体" w:cs="宋体"/>
                <w:color w:val="auto"/>
                <w:sz w:val="24"/>
                <w:szCs w:val="24"/>
                <w:highlight w:val="none"/>
                <w:lang w:val="en-US" w:eastAsia="zh-CN"/>
              </w:rPr>
              <w:t>每获得一个</w:t>
            </w:r>
            <w:r>
              <w:rPr>
                <w:rFonts w:hint="eastAsia" w:ascii="宋体" w:hAnsi="宋体" w:eastAsia="宋体" w:cs="宋体"/>
                <w:color w:val="auto"/>
                <w:sz w:val="24"/>
                <w:szCs w:val="24"/>
                <w:highlight w:val="none"/>
              </w:rPr>
              <w:t>得2分，省级每获得一个得1分，地市级每获得一个得0.5分，其余不得分，本项最高得分10分。提供证书复印件并加盖投标人公章。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9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eastAsia" w:ascii="宋体" w:hAnsi="宋体" w:eastAsia="宋体" w:cs="宋体"/>
                <w:b/>
                <w:color w:val="auto"/>
                <w:sz w:val="24"/>
                <w:szCs w:val="24"/>
                <w:highlight w:val="none"/>
              </w:rPr>
            </w:pPr>
          </w:p>
        </w:tc>
        <w:tc>
          <w:tcPr>
            <w:tcW w:w="695"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w:t>
            </w:r>
          </w:p>
        </w:tc>
        <w:tc>
          <w:tcPr>
            <w:tcW w:w="436"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376"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参见“</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shd w:val="clear" w:color="auto" w:fill="FFFFFF"/>
              </w:rPr>
              <w:t>中标后的服务承诺”，</w:t>
            </w:r>
            <w:r>
              <w:rPr>
                <w:rFonts w:hint="eastAsia" w:ascii="宋体" w:hAnsi="宋体" w:eastAsia="宋体" w:cs="宋体"/>
                <w:color w:val="auto"/>
                <w:sz w:val="24"/>
                <w:szCs w:val="24"/>
                <w:highlight w:val="none"/>
                <w:lang w:eastAsia="zh-Hans"/>
              </w:rPr>
              <w:t>提供中标后的服务承诺书得5分，无承诺</w:t>
            </w:r>
            <w:r>
              <w:rPr>
                <w:rFonts w:hint="eastAsia" w:ascii="宋体" w:hAnsi="宋体" w:cs="宋体"/>
                <w:color w:val="auto"/>
                <w:sz w:val="24"/>
                <w:szCs w:val="24"/>
                <w:highlight w:val="none"/>
                <w:lang w:val="en-US" w:eastAsia="zh-CN"/>
              </w:rPr>
              <w:t>或没有全部承诺或无远程加工服务证明</w:t>
            </w:r>
            <w:r>
              <w:rPr>
                <w:rFonts w:hint="eastAsia" w:ascii="宋体" w:hAnsi="宋体" w:eastAsia="宋体" w:cs="宋体"/>
                <w:color w:val="auto"/>
                <w:sz w:val="24"/>
                <w:szCs w:val="24"/>
                <w:highlight w:val="none"/>
                <w:lang w:eastAsia="zh-Hans"/>
              </w:rPr>
              <w:t>不得分</w:t>
            </w:r>
            <w:r>
              <w:rPr>
                <w:rFonts w:hint="eastAsia" w:ascii="宋体" w:hAnsi="宋体" w:eastAsia="宋体" w:cs="宋体"/>
                <w:color w:val="auto"/>
                <w:sz w:val="24"/>
                <w:szCs w:val="24"/>
                <w:highlight w:val="none"/>
              </w:rPr>
              <w:t>。</w:t>
            </w:r>
          </w:p>
        </w:tc>
      </w:tr>
    </w:tbl>
    <w:p>
      <w:pPr>
        <w:numPr>
          <w:ilvl w:val="0"/>
          <w:numId w:val="0"/>
        </w:numPr>
        <w:autoSpaceDE w:val="0"/>
        <w:autoSpaceDN w:val="0"/>
        <w:adjustRightInd w:val="0"/>
        <w:snapToGrid w:val="0"/>
        <w:spacing w:line="460" w:lineRule="exact"/>
        <w:rPr>
          <w:rFonts w:hint="eastAsia" w:ascii="宋体" w:hAnsi="宋体" w:cs="宋体"/>
          <w:b/>
          <w:color w:val="auto"/>
          <w:sz w:val="28"/>
          <w:szCs w:val="28"/>
          <w:highlight w:val="none"/>
          <w:lang w:val="zh-CN"/>
        </w:rPr>
      </w:pPr>
    </w:p>
    <w:p>
      <w:pPr>
        <w:numPr>
          <w:ilvl w:val="0"/>
          <w:numId w:val="2"/>
        </w:numPr>
        <w:autoSpaceDE w:val="0"/>
        <w:autoSpaceDN w:val="0"/>
        <w:adjustRightInd w:val="0"/>
        <w:snapToGrid w:val="0"/>
        <w:spacing w:line="460" w:lineRule="exact"/>
        <w:rPr>
          <w:rFonts w:hint="eastAsia" w:ascii="宋体" w:hAnsi="宋体" w:cs="宋体"/>
          <w:b/>
          <w:color w:val="auto"/>
          <w:sz w:val="28"/>
          <w:szCs w:val="28"/>
          <w:highlight w:val="none"/>
          <w:lang w:val="zh-CN"/>
        </w:rPr>
      </w:pPr>
      <w:r>
        <w:rPr>
          <w:rFonts w:hint="eastAsia" w:ascii="宋体" w:hAnsi="宋体" w:cs="宋体"/>
          <w:b/>
          <w:color w:val="auto"/>
          <w:sz w:val="28"/>
          <w:szCs w:val="28"/>
          <w:highlight w:val="none"/>
          <w:lang w:val="zh-CN"/>
        </w:rPr>
        <w:t>价格分</w:t>
      </w:r>
    </w:p>
    <w:p>
      <w:pPr>
        <w:numPr>
          <w:ilvl w:val="0"/>
          <w:numId w:val="0"/>
        </w:numPr>
        <w:autoSpaceDE w:val="0"/>
        <w:autoSpaceDN w:val="0"/>
        <w:adjustRightInd w:val="0"/>
        <w:snapToGrid w:val="0"/>
        <w:spacing w:line="460" w:lineRule="exact"/>
        <w:rPr>
          <w:rFonts w:hint="eastAsia" w:ascii="宋体" w:hAnsi="宋体" w:cs="宋体"/>
          <w:color w:val="auto"/>
          <w:kern w:val="0"/>
          <w:sz w:val="24"/>
          <w:szCs w:val="24"/>
          <w:highlight w:val="none"/>
          <w:lang w:bidi="ar"/>
        </w:rPr>
      </w:pPr>
      <w:r>
        <w:rPr>
          <w:rFonts w:hint="eastAsia" w:ascii="宋体" w:hAnsi="宋体" w:cs="宋体"/>
          <w:b/>
          <w:color w:val="auto"/>
          <w:sz w:val="24"/>
          <w:szCs w:val="24"/>
          <w:highlight w:val="none"/>
          <w:lang w:val="zh-CN"/>
        </w:rPr>
        <w:t>（</w:t>
      </w:r>
      <w:r>
        <w:rPr>
          <w:rFonts w:hint="eastAsia" w:ascii="宋体" w:hAnsi="宋体" w:cs="宋体"/>
          <w:b/>
          <w:color w:val="auto"/>
          <w:sz w:val="24"/>
          <w:szCs w:val="24"/>
          <w:highlight w:val="none"/>
          <w:lang w:val="en-US" w:eastAsia="zh-CN"/>
        </w:rPr>
        <w:t>标段一</w:t>
      </w:r>
      <w:r>
        <w:rPr>
          <w:rFonts w:hint="eastAsia" w:ascii="宋体" w:hAnsi="宋体" w:cs="宋体"/>
          <w:b/>
          <w:color w:val="auto"/>
          <w:sz w:val="24"/>
          <w:szCs w:val="24"/>
          <w:highlight w:val="none"/>
          <w:lang w:val="zh-CN"/>
        </w:rPr>
        <w:t>）</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5</w:t>
      </w:r>
      <w:r>
        <w:rPr>
          <w:rFonts w:hint="eastAsia" w:ascii="宋体" w:hAnsi="宋体" w:cs="宋体"/>
          <w:color w:val="auto"/>
          <w:kern w:val="0"/>
          <w:sz w:val="24"/>
          <w:szCs w:val="24"/>
          <w:highlight w:val="none"/>
          <w:lang w:val="en-US" w:eastAsia="zh-CN" w:bidi="ar"/>
        </w:rPr>
        <w:t>0</w:t>
      </w:r>
      <w:r>
        <w:rPr>
          <w:rFonts w:hint="eastAsia" w:ascii="宋体" w:hAnsi="宋体" w:cs="宋体"/>
          <w:color w:val="auto"/>
          <w:kern w:val="0"/>
          <w:sz w:val="24"/>
          <w:szCs w:val="24"/>
          <w:highlight w:val="none"/>
          <w:lang w:bidi="ar"/>
        </w:rPr>
        <w:t>分</w:t>
      </w:r>
    </w:p>
    <w:p>
      <w:pPr>
        <w:pStyle w:val="2"/>
        <w:jc w:val="both"/>
        <w:rPr>
          <w:rFonts w:hint="default"/>
          <w:color w:val="auto"/>
          <w:sz w:val="24"/>
          <w:szCs w:val="24"/>
          <w:highlight w:val="none"/>
          <w:lang w:val="en-US" w:eastAsia="zh-CN"/>
        </w:rPr>
      </w:pPr>
      <w:r>
        <w:rPr>
          <w:rFonts w:hint="eastAsia"/>
          <w:color w:val="auto"/>
          <w:sz w:val="24"/>
          <w:szCs w:val="24"/>
          <w:highlight w:val="none"/>
          <w:lang w:val="en-US" w:eastAsia="zh-CN"/>
        </w:rPr>
        <w:t>投标人报总码洋数和总册数，总码洋≥112万元（人民币），总册数≥2.5万册，否则按不无效标处理。</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1185"/>
        <w:gridCol w:w="744"/>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商务标</w:t>
            </w:r>
          </w:p>
        </w:tc>
        <w:tc>
          <w:tcPr>
            <w:tcW w:w="695"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总</w:t>
            </w:r>
            <w:r>
              <w:rPr>
                <w:rFonts w:hint="eastAsia" w:ascii="宋体" w:hAnsi="宋体" w:eastAsia="宋体" w:cs="宋体"/>
                <w:color w:val="auto"/>
                <w:sz w:val="24"/>
                <w:szCs w:val="24"/>
                <w:highlight w:val="none"/>
              </w:rPr>
              <w:t>码洋</w:t>
            </w:r>
          </w:p>
        </w:tc>
        <w:tc>
          <w:tcPr>
            <w:tcW w:w="436"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0</w:t>
            </w:r>
          </w:p>
        </w:tc>
        <w:tc>
          <w:tcPr>
            <w:tcW w:w="3376"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所报码洋数的最高值为满分值</w:t>
            </w:r>
          </w:p>
          <w:p>
            <w:pPr>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得分值=（投标人所报码洋数/</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中所报最高码洋数）*</w:t>
            </w:r>
            <w:r>
              <w:rPr>
                <w:rFonts w:hint="eastAsia" w:ascii="宋体" w:hAnsi="宋体" w:cs="宋体"/>
                <w:color w:val="auto"/>
                <w:sz w:val="24"/>
                <w:szCs w:val="24"/>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eastAsia" w:ascii="宋体" w:hAnsi="宋体" w:eastAsia="宋体" w:cs="宋体"/>
                <w:color w:val="auto"/>
                <w:sz w:val="24"/>
                <w:szCs w:val="24"/>
                <w:highlight w:val="none"/>
              </w:rPr>
            </w:pPr>
          </w:p>
        </w:tc>
        <w:tc>
          <w:tcPr>
            <w:tcW w:w="695"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总</w:t>
            </w:r>
            <w:r>
              <w:rPr>
                <w:rFonts w:hint="eastAsia" w:ascii="宋体" w:hAnsi="宋体" w:eastAsia="宋体" w:cs="宋体"/>
                <w:color w:val="auto"/>
                <w:sz w:val="24"/>
                <w:szCs w:val="24"/>
                <w:highlight w:val="none"/>
              </w:rPr>
              <w:t>册数</w:t>
            </w:r>
          </w:p>
        </w:tc>
        <w:tc>
          <w:tcPr>
            <w:tcW w:w="436"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0</w:t>
            </w:r>
          </w:p>
        </w:tc>
        <w:tc>
          <w:tcPr>
            <w:tcW w:w="3376"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所报图书册数的最高值为满分值</w:t>
            </w:r>
          </w:p>
          <w:p>
            <w:pPr>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得分值=（投标人所报册数/</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中所报最高册数）*</w:t>
            </w:r>
            <w:r>
              <w:rPr>
                <w:rFonts w:hint="eastAsia" w:ascii="宋体" w:hAnsi="宋体" w:cs="宋体"/>
                <w:color w:val="auto"/>
                <w:sz w:val="24"/>
                <w:szCs w:val="24"/>
                <w:highlight w:val="none"/>
                <w:lang w:val="en-US" w:eastAsia="zh-CN"/>
              </w:rPr>
              <w:t>30</w:t>
            </w:r>
          </w:p>
        </w:tc>
      </w:tr>
    </w:tbl>
    <w:p>
      <w:pPr>
        <w:rPr>
          <w:color w:val="auto"/>
          <w:highlight w:val="none"/>
        </w:rPr>
      </w:pPr>
    </w:p>
    <w:p>
      <w:pPr>
        <w:autoSpaceDE w:val="0"/>
        <w:autoSpaceDN w:val="0"/>
        <w:adjustRightInd w:val="0"/>
        <w:snapToGrid w:val="0"/>
        <w:spacing w:line="460" w:lineRule="exact"/>
        <w:rPr>
          <w:rFonts w:hint="eastAsia" w:ascii="宋体" w:hAnsi="宋体" w:cs="宋体"/>
          <w:b w:val="0"/>
          <w:bCs/>
          <w:color w:val="auto"/>
          <w:kern w:val="0"/>
          <w:sz w:val="28"/>
          <w:szCs w:val="28"/>
          <w:highlight w:val="none"/>
          <w:lang w:bidi="ar"/>
        </w:rPr>
      </w:pPr>
      <w:r>
        <w:rPr>
          <w:rFonts w:hint="eastAsia" w:ascii="宋体" w:hAnsi="宋体" w:cs="宋体"/>
          <w:b w:val="0"/>
          <w:bCs/>
          <w:color w:val="auto"/>
          <w:sz w:val="28"/>
          <w:szCs w:val="28"/>
          <w:highlight w:val="none"/>
          <w:lang w:val="zh-CN"/>
        </w:rPr>
        <w:t>（</w:t>
      </w:r>
      <w:r>
        <w:rPr>
          <w:rFonts w:hint="eastAsia" w:ascii="宋体" w:hAnsi="宋体" w:cs="宋体"/>
          <w:b w:val="0"/>
          <w:bCs/>
          <w:color w:val="auto"/>
          <w:sz w:val="28"/>
          <w:szCs w:val="28"/>
          <w:highlight w:val="none"/>
          <w:lang w:val="en-US" w:eastAsia="zh-CN"/>
        </w:rPr>
        <w:t>标段二</w:t>
      </w:r>
      <w:r>
        <w:rPr>
          <w:rFonts w:hint="eastAsia" w:ascii="宋体" w:hAnsi="宋体" w:cs="宋体"/>
          <w:b w:val="0"/>
          <w:bCs/>
          <w:color w:val="auto"/>
          <w:sz w:val="28"/>
          <w:szCs w:val="28"/>
          <w:highlight w:val="none"/>
          <w:lang w:val="zh-CN"/>
        </w:rPr>
        <w:t>）</w:t>
      </w:r>
      <w:r>
        <w:rPr>
          <w:rFonts w:hint="eastAsia" w:ascii="宋体" w:hAnsi="宋体" w:cs="宋体"/>
          <w:b w:val="0"/>
          <w:bCs/>
          <w:color w:val="auto"/>
          <w:sz w:val="28"/>
          <w:szCs w:val="28"/>
          <w:highlight w:val="none"/>
        </w:rPr>
        <w:t>：</w:t>
      </w:r>
      <w:r>
        <w:rPr>
          <w:rFonts w:hint="eastAsia" w:ascii="宋体" w:hAnsi="宋体" w:cs="宋体"/>
          <w:b w:val="0"/>
          <w:bCs/>
          <w:color w:val="auto"/>
          <w:kern w:val="0"/>
          <w:sz w:val="28"/>
          <w:szCs w:val="28"/>
          <w:highlight w:val="none"/>
          <w:lang w:val="en-US" w:eastAsia="zh-CN" w:bidi="ar"/>
        </w:rPr>
        <w:t>50</w:t>
      </w:r>
      <w:r>
        <w:rPr>
          <w:rFonts w:hint="eastAsia" w:ascii="宋体" w:hAnsi="宋体" w:cs="宋体"/>
          <w:b w:val="0"/>
          <w:bCs/>
          <w:color w:val="auto"/>
          <w:kern w:val="0"/>
          <w:sz w:val="28"/>
          <w:szCs w:val="28"/>
          <w:highlight w:val="none"/>
          <w:lang w:bidi="ar"/>
        </w:rPr>
        <w:t>分</w:t>
      </w:r>
    </w:p>
    <w:p>
      <w:pPr>
        <w:adjustRightInd w:val="0"/>
        <w:snapToGrid w:val="0"/>
        <w:spacing w:line="500" w:lineRule="exact"/>
        <w:ind w:firstLine="280" w:firstLineChars="100"/>
        <w:rPr>
          <w:color w:val="auto"/>
          <w:highlight w:val="none"/>
        </w:rPr>
      </w:pPr>
      <w:r>
        <w:rPr>
          <w:rFonts w:hint="eastAsia" w:ascii="宋体" w:hAnsi="宋体" w:eastAsia="宋体" w:cs="宋体"/>
          <w:color w:val="auto"/>
          <w:sz w:val="28"/>
          <w:szCs w:val="28"/>
          <w:highlight w:val="none"/>
        </w:rPr>
        <w:t>报价折扣上限为</w:t>
      </w:r>
      <w:r>
        <w:rPr>
          <w:rFonts w:hint="eastAsia" w:ascii="宋体" w:hAnsi="宋体" w:eastAsia="宋体" w:cs="宋体"/>
          <w:color w:val="auto"/>
          <w:sz w:val="28"/>
          <w:szCs w:val="28"/>
          <w:highlight w:val="none"/>
          <w:lang w:val="en-US" w:eastAsia="zh-CN"/>
        </w:rPr>
        <w:t>7.2</w:t>
      </w:r>
      <w:r>
        <w:rPr>
          <w:rFonts w:hint="eastAsia" w:ascii="宋体" w:hAnsi="宋体" w:eastAsia="宋体" w:cs="宋体"/>
          <w:color w:val="auto"/>
          <w:sz w:val="28"/>
          <w:szCs w:val="28"/>
          <w:highlight w:val="none"/>
        </w:rPr>
        <w:t>折（实洋与对应码洋比例不超过</w:t>
      </w:r>
      <w:r>
        <w:rPr>
          <w:rFonts w:hint="eastAsia" w:ascii="宋体" w:hAnsi="宋体" w:eastAsia="宋体" w:cs="宋体"/>
          <w:color w:val="auto"/>
          <w:sz w:val="28"/>
          <w:szCs w:val="28"/>
          <w:highlight w:val="none"/>
          <w:lang w:val="en-US" w:eastAsia="zh-CN"/>
        </w:rPr>
        <w:t>72</w:t>
      </w:r>
      <w:r>
        <w:rPr>
          <w:rFonts w:hint="eastAsia" w:ascii="宋体" w:hAnsi="宋体" w:eastAsia="宋体" w:cs="宋体"/>
          <w:color w:val="auto"/>
          <w:sz w:val="28"/>
          <w:szCs w:val="28"/>
          <w:highlight w:val="none"/>
        </w:rPr>
        <w:t>%）；投标报价（折扣）超过</w:t>
      </w:r>
      <w:r>
        <w:rPr>
          <w:rFonts w:hint="eastAsia" w:ascii="宋体" w:hAnsi="宋体" w:eastAsia="宋体" w:cs="宋体"/>
          <w:color w:val="auto"/>
          <w:sz w:val="28"/>
          <w:szCs w:val="28"/>
          <w:highlight w:val="none"/>
          <w:lang w:val="en-US" w:eastAsia="zh-CN"/>
        </w:rPr>
        <w:t>7.2</w:t>
      </w:r>
      <w:r>
        <w:rPr>
          <w:rFonts w:hint="eastAsia" w:ascii="宋体" w:hAnsi="宋体" w:eastAsia="宋体" w:cs="宋体"/>
          <w:color w:val="auto"/>
          <w:sz w:val="28"/>
          <w:szCs w:val="28"/>
          <w:highlight w:val="none"/>
        </w:rPr>
        <w:t>折的为无效投标。</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271"/>
        <w:gridCol w:w="754"/>
        <w:gridCol w:w="5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商务标</w:t>
            </w:r>
          </w:p>
        </w:tc>
        <w:tc>
          <w:tcPr>
            <w:tcW w:w="745"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折扣</w:t>
            </w:r>
          </w:p>
        </w:tc>
        <w:tc>
          <w:tcPr>
            <w:tcW w:w="442" w:type="pct"/>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w:t>
            </w:r>
          </w:p>
        </w:tc>
        <w:tc>
          <w:tcPr>
            <w:tcW w:w="3331" w:type="pct"/>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以各</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所报</w:t>
            </w:r>
            <w:r>
              <w:rPr>
                <w:rFonts w:hint="eastAsia" w:ascii="宋体" w:hAnsi="宋体" w:cs="宋体"/>
                <w:color w:val="auto"/>
                <w:sz w:val="24"/>
                <w:szCs w:val="24"/>
                <w:highlight w:val="none"/>
                <w:lang w:eastAsia="zh-CN"/>
              </w:rPr>
              <w:t>折扣</w:t>
            </w:r>
            <w:r>
              <w:rPr>
                <w:rFonts w:hint="eastAsia" w:ascii="宋体" w:hAnsi="宋体" w:eastAsia="宋体" w:cs="宋体"/>
                <w:color w:val="auto"/>
                <w:sz w:val="24"/>
                <w:szCs w:val="24"/>
                <w:highlight w:val="none"/>
              </w:rPr>
              <w:t>的最低值为满分值</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得分值=（</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中所报最低</w:t>
            </w:r>
            <w:r>
              <w:rPr>
                <w:rFonts w:hint="eastAsia" w:ascii="宋体" w:hAnsi="宋体" w:cs="宋体"/>
                <w:color w:val="auto"/>
                <w:sz w:val="24"/>
                <w:szCs w:val="24"/>
                <w:highlight w:val="none"/>
                <w:lang w:eastAsia="zh-CN"/>
              </w:rPr>
              <w:t>折扣</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投标人</w:t>
            </w:r>
            <w:r>
              <w:rPr>
                <w:rFonts w:hint="eastAsia" w:ascii="宋体" w:hAnsi="宋体" w:eastAsia="宋体" w:cs="宋体"/>
                <w:color w:val="auto"/>
                <w:sz w:val="24"/>
                <w:szCs w:val="24"/>
                <w:highlight w:val="none"/>
              </w:rPr>
              <w:t>所报</w:t>
            </w:r>
            <w:r>
              <w:rPr>
                <w:rFonts w:hint="eastAsia" w:ascii="宋体" w:hAnsi="宋体" w:cs="宋体"/>
                <w:color w:val="auto"/>
                <w:sz w:val="24"/>
                <w:szCs w:val="24"/>
                <w:highlight w:val="none"/>
                <w:lang w:eastAsia="zh-CN"/>
              </w:rPr>
              <w:t>折扣</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50</w:t>
            </w:r>
          </w:p>
        </w:tc>
      </w:tr>
    </w:tbl>
    <w:p>
      <w:pPr>
        <w:ind w:firstLine="562" w:firstLineChars="200"/>
        <w:rPr>
          <w:rFonts w:ascii="宋体" w:hAnsi="宋体" w:cs="宋体"/>
          <w:bCs/>
          <w:color w:val="auto"/>
          <w:sz w:val="28"/>
          <w:szCs w:val="28"/>
          <w:highlight w:val="none"/>
        </w:rPr>
      </w:pP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五</w:t>
      </w:r>
      <w:r>
        <w:rPr>
          <w:rFonts w:hint="eastAsia" w:ascii="宋体" w:hAnsi="宋体" w:cs="宋体"/>
          <w:b/>
          <w:color w:val="auto"/>
          <w:sz w:val="28"/>
          <w:szCs w:val="28"/>
          <w:highlight w:val="none"/>
        </w:rPr>
        <w:t>）中标人的确定</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评委会汇总各评委评分后，按照得分从高到低的顺序推荐三名中标候选人，并编写评标报告。</w:t>
      </w:r>
    </w:p>
    <w:p>
      <w:pPr>
        <w:adjustRightInd w:val="0"/>
        <w:snapToGrid w:val="0"/>
        <w:spacing w:line="4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招标人委托评标委员会直接确定</w:t>
      </w:r>
      <w:r>
        <w:rPr>
          <w:rFonts w:hint="eastAsia" w:ascii="宋体" w:hAnsi="宋体" w:cs="宋体"/>
          <w:color w:val="auto"/>
          <w:sz w:val="28"/>
          <w:szCs w:val="28"/>
          <w:highlight w:val="none"/>
          <w:lang w:val="en-US" w:eastAsia="zh-CN"/>
        </w:rPr>
        <w:t>标段一</w:t>
      </w:r>
      <w:r>
        <w:rPr>
          <w:rFonts w:hint="eastAsia" w:ascii="宋体" w:hAnsi="宋体" w:cs="宋体"/>
          <w:color w:val="auto"/>
          <w:sz w:val="28"/>
          <w:szCs w:val="28"/>
          <w:highlight w:val="none"/>
        </w:rPr>
        <w:t>排名第一的中标候选人为</w:t>
      </w:r>
      <w:r>
        <w:rPr>
          <w:rFonts w:hint="eastAsia" w:ascii="宋体" w:hAnsi="宋体" w:cs="宋体"/>
          <w:color w:val="auto"/>
          <w:sz w:val="28"/>
          <w:szCs w:val="28"/>
          <w:highlight w:val="none"/>
          <w:lang w:val="en-US" w:eastAsia="zh-CN"/>
        </w:rPr>
        <w:t>标段一</w:t>
      </w:r>
      <w:r>
        <w:rPr>
          <w:rFonts w:hint="eastAsia" w:ascii="宋体" w:hAnsi="宋体" w:cs="宋体"/>
          <w:color w:val="auto"/>
          <w:sz w:val="28"/>
          <w:szCs w:val="28"/>
          <w:highlight w:val="none"/>
        </w:rPr>
        <w:t>中标人</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确定</w:t>
      </w:r>
      <w:r>
        <w:rPr>
          <w:rFonts w:hint="eastAsia" w:ascii="宋体" w:hAnsi="宋体" w:cs="宋体"/>
          <w:color w:val="auto"/>
          <w:sz w:val="28"/>
          <w:szCs w:val="28"/>
          <w:highlight w:val="none"/>
          <w:lang w:val="en-US" w:eastAsia="zh-CN"/>
        </w:rPr>
        <w:t>标段二</w:t>
      </w:r>
      <w:r>
        <w:rPr>
          <w:rFonts w:hint="eastAsia" w:ascii="宋体" w:hAnsi="宋体" w:cs="宋体"/>
          <w:color w:val="auto"/>
          <w:sz w:val="28"/>
          <w:szCs w:val="28"/>
          <w:highlight w:val="none"/>
        </w:rPr>
        <w:t>排名第一</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第二</w:t>
      </w:r>
      <w:r>
        <w:rPr>
          <w:rFonts w:hint="eastAsia" w:ascii="宋体" w:hAnsi="宋体" w:cs="宋体"/>
          <w:color w:val="auto"/>
          <w:sz w:val="28"/>
          <w:szCs w:val="28"/>
          <w:highlight w:val="none"/>
        </w:rPr>
        <w:t>的中标候选人为</w:t>
      </w:r>
      <w:r>
        <w:rPr>
          <w:rFonts w:hint="eastAsia" w:ascii="宋体" w:hAnsi="宋体" w:cs="宋体"/>
          <w:color w:val="auto"/>
          <w:sz w:val="28"/>
          <w:szCs w:val="28"/>
          <w:highlight w:val="none"/>
          <w:lang w:val="en-US" w:eastAsia="zh-CN"/>
        </w:rPr>
        <w:t>标段二</w:t>
      </w:r>
      <w:r>
        <w:rPr>
          <w:rFonts w:hint="eastAsia" w:ascii="宋体" w:hAnsi="宋体" w:cs="宋体"/>
          <w:color w:val="auto"/>
          <w:sz w:val="28"/>
          <w:szCs w:val="28"/>
          <w:highlight w:val="none"/>
        </w:rPr>
        <w:t>中标人</w:t>
      </w:r>
      <w:r>
        <w:rPr>
          <w:rFonts w:hint="eastAsia" w:ascii="宋体" w:hAnsi="宋体" w:cs="宋体"/>
          <w:color w:val="auto"/>
          <w:sz w:val="28"/>
          <w:szCs w:val="28"/>
          <w:highlight w:val="none"/>
          <w:lang w:eastAsia="zh-CN"/>
        </w:rPr>
        <w:t>。</w:t>
      </w:r>
    </w:p>
    <w:p>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成交供应商无故弃标，或者因其自身原因不再具备成交资格等，招标人可以按照评审委员会评审结果，按综合得分从高向低排序，由其他成交候选人递补，或重新组织采购。</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w:t>
      </w:r>
      <w:r>
        <w:rPr>
          <w:rFonts w:hint="eastAsia" w:ascii="宋体" w:hAnsi="宋体" w:cs="宋体"/>
          <w:b/>
          <w:bCs/>
          <w:color w:val="auto"/>
          <w:sz w:val="28"/>
          <w:szCs w:val="28"/>
          <w:highlight w:val="none"/>
        </w:rPr>
        <w:t>八</w:t>
      </w:r>
      <w:r>
        <w:rPr>
          <w:rFonts w:hint="eastAsia" w:ascii="宋体" w:hAnsi="宋体" w:cs="宋体"/>
          <w:b/>
          <w:color w:val="auto"/>
          <w:sz w:val="28"/>
          <w:szCs w:val="28"/>
          <w:highlight w:val="none"/>
        </w:rPr>
        <w:t>）招标人代表宣布评标结果。</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（九）公告中标结果</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自确定中标人之日起2个工作日内，在</w:t>
      </w:r>
      <w:r>
        <w:rPr>
          <w:rFonts w:hint="eastAsia" w:ascii="宋体" w:hAnsi="宋体" w:cs="宋体"/>
          <w:color w:val="auto"/>
          <w:sz w:val="28"/>
          <w:szCs w:val="28"/>
          <w:highlight w:val="none"/>
          <w:lang w:eastAsia="zh-CN"/>
        </w:rPr>
        <w:t>南通职业大学</w:t>
      </w:r>
      <w:r>
        <w:rPr>
          <w:rFonts w:hint="eastAsia" w:ascii="宋体" w:hAnsi="宋体" w:cs="宋体"/>
          <w:color w:val="auto"/>
          <w:sz w:val="28"/>
          <w:szCs w:val="28"/>
          <w:highlight w:val="none"/>
        </w:rPr>
        <w:t>网站公告中标结果，公告期限为1个工作日。</w:t>
      </w:r>
    </w:p>
    <w:p>
      <w:pPr>
        <w:adjustRightInd w:val="0"/>
        <w:snapToGrid w:val="0"/>
        <w:spacing w:line="460" w:lineRule="exact"/>
        <w:ind w:firstLine="562" w:firstLineChars="200"/>
        <w:rPr>
          <w:rFonts w:ascii="宋体" w:hAnsi="宋体" w:cs="宋体"/>
          <w:b/>
          <w:bCs/>
          <w:color w:val="auto"/>
          <w:sz w:val="28"/>
          <w:szCs w:val="28"/>
          <w:highlight w:val="none"/>
        </w:rPr>
      </w:pP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十</w:t>
      </w:r>
      <w:r>
        <w:rPr>
          <w:rFonts w:hint="eastAsia" w:ascii="宋体" w:hAnsi="宋体" w:cs="宋体"/>
          <w:b/>
          <w:color w:val="auto"/>
          <w:sz w:val="28"/>
          <w:szCs w:val="28"/>
          <w:highlight w:val="none"/>
        </w:rPr>
        <w:t>）</w:t>
      </w:r>
      <w:r>
        <w:rPr>
          <w:rFonts w:hint="eastAsia" w:ascii="宋体" w:hAnsi="宋体" w:cs="宋体"/>
          <w:b/>
          <w:bCs/>
          <w:color w:val="auto"/>
          <w:sz w:val="28"/>
          <w:szCs w:val="28"/>
          <w:highlight w:val="none"/>
        </w:rPr>
        <w:t>发放中标通知书</w:t>
      </w:r>
    </w:p>
    <w:p>
      <w:pPr>
        <w:adjustRightInd w:val="0"/>
        <w:snapToGrid w:val="0"/>
        <w:spacing w:line="460" w:lineRule="exact"/>
        <w:ind w:firstLine="560" w:firstLineChars="200"/>
        <w:rPr>
          <w:rFonts w:ascii="宋体" w:hAnsi="宋体" w:cs="宋体"/>
          <w:bCs/>
          <w:color w:val="auto"/>
          <w:sz w:val="28"/>
          <w:szCs w:val="28"/>
          <w:highlight w:val="none"/>
        </w:rPr>
      </w:pPr>
      <w:r>
        <w:rPr>
          <w:rFonts w:hint="eastAsia" w:ascii="宋体" w:hAnsi="宋体" w:cs="宋体"/>
          <w:color w:val="auto"/>
          <w:sz w:val="28"/>
          <w:szCs w:val="28"/>
          <w:highlight w:val="none"/>
        </w:rPr>
        <w:t>公告中标结果的同时，招标人</w:t>
      </w:r>
      <w:r>
        <w:rPr>
          <w:rFonts w:hint="eastAsia" w:ascii="宋体" w:hAnsi="宋体" w:cs="宋体"/>
          <w:bCs/>
          <w:color w:val="auto"/>
          <w:sz w:val="28"/>
          <w:szCs w:val="28"/>
          <w:highlight w:val="none"/>
        </w:rPr>
        <w:t>向中标供应商发放中标通知书。</w:t>
      </w:r>
    </w:p>
    <w:p>
      <w:pPr>
        <w:adjustRightInd w:val="0"/>
        <w:snapToGrid w:val="0"/>
        <w:spacing w:line="460" w:lineRule="exact"/>
        <w:ind w:firstLine="560" w:firstLineChars="200"/>
        <w:rPr>
          <w:rFonts w:ascii="宋体" w:hAnsi="宋体" w:cs="宋体"/>
          <w:b/>
          <w:color w:val="auto"/>
          <w:sz w:val="28"/>
          <w:szCs w:val="28"/>
          <w:highlight w:val="none"/>
        </w:rPr>
      </w:pPr>
      <w:r>
        <w:rPr>
          <w:rFonts w:hint="eastAsia" w:ascii="宋体" w:hAnsi="宋体" w:cs="宋体"/>
          <w:color w:val="auto"/>
          <w:sz w:val="28"/>
          <w:szCs w:val="28"/>
          <w:highlight w:val="none"/>
        </w:rPr>
        <w:t>中标通知书发出后，招标人不得违法改变中标结果，中标供应商无正当理由不得放弃中标。</w:t>
      </w:r>
    </w:p>
    <w:p>
      <w:pPr>
        <w:adjustRightInd w:val="0"/>
        <w:snapToGrid w:val="0"/>
        <w:spacing w:line="4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十一</w:t>
      </w:r>
      <w:r>
        <w:rPr>
          <w:rFonts w:hint="eastAsia" w:ascii="宋体" w:hAnsi="宋体" w:cs="宋体"/>
          <w:b/>
          <w:color w:val="auto"/>
          <w:sz w:val="28"/>
          <w:szCs w:val="28"/>
          <w:highlight w:val="none"/>
        </w:rPr>
        <w:t>）其他</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当中标人无正当理由放弃中标，被查实存在影响中标结果的违法行为等情形，招标人有权按照政府采购相关法律法规的规定对其采取惩戒措施，包含但不限于列入采购失信人黑名单等措施。</w:t>
      </w:r>
    </w:p>
    <w:p>
      <w:pPr>
        <w:adjustRightInd w:val="0"/>
        <w:snapToGrid w:val="0"/>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当中标</w:t>
      </w:r>
      <w:r>
        <w:rPr>
          <w:rFonts w:hint="eastAsia" w:ascii="宋体" w:hAnsi="宋体" w:cs="宋体"/>
          <w:color w:val="auto"/>
          <w:sz w:val="28"/>
          <w:szCs w:val="28"/>
          <w:highlight w:val="none"/>
          <w:lang w:val="en-US" w:eastAsia="zh-CN"/>
        </w:rPr>
        <w:t>人</w:t>
      </w:r>
      <w:r>
        <w:rPr>
          <w:rFonts w:hint="eastAsia" w:ascii="宋体" w:hAnsi="宋体" w:cs="宋体"/>
          <w:color w:val="auto"/>
          <w:sz w:val="28"/>
          <w:szCs w:val="28"/>
          <w:highlight w:val="none"/>
        </w:rPr>
        <w:t>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adjustRightInd w:val="0"/>
        <w:snapToGrid w:val="0"/>
        <w:spacing w:line="420" w:lineRule="exact"/>
        <w:ind w:firstLine="562" w:firstLineChars="200"/>
        <w:rPr>
          <w:rFonts w:ascii="宋体" w:hAnsi="宋体" w:cs="宋体"/>
          <w:b/>
          <w:bCs/>
          <w:color w:val="auto"/>
          <w:sz w:val="28"/>
          <w:szCs w:val="28"/>
          <w:highlight w:val="none"/>
        </w:rPr>
      </w:pPr>
    </w:p>
    <w:p>
      <w:pPr>
        <w:adjustRightInd w:val="0"/>
        <w:snapToGrid w:val="0"/>
        <w:spacing w:line="420" w:lineRule="exact"/>
        <w:ind w:firstLine="643" w:firstLineChars="200"/>
        <w:jc w:val="center"/>
        <w:rPr>
          <w:rFonts w:ascii="宋体" w:hAnsi="宋体" w:cs="宋体"/>
          <w:bCs/>
          <w:color w:val="auto"/>
          <w:sz w:val="36"/>
          <w:szCs w:val="36"/>
          <w:highlight w:val="none"/>
        </w:rPr>
      </w:pPr>
      <w:r>
        <w:rPr>
          <w:rFonts w:hint="eastAsia" w:ascii="宋体" w:hAnsi="宋体" w:cs="宋体"/>
          <w:b/>
          <w:color w:val="auto"/>
          <w:sz w:val="32"/>
          <w:szCs w:val="32"/>
          <w:highlight w:val="none"/>
        </w:rPr>
        <w:br w:type="page"/>
      </w:r>
      <w:r>
        <w:rPr>
          <w:rFonts w:hint="eastAsia" w:ascii="宋体" w:hAnsi="宋体" w:cs="宋体"/>
          <w:b/>
          <w:color w:val="auto"/>
          <w:sz w:val="36"/>
          <w:szCs w:val="36"/>
          <w:highlight w:val="none"/>
        </w:rPr>
        <w:t>第五部分  投标文件组成</w:t>
      </w:r>
    </w:p>
    <w:p>
      <w:pPr>
        <w:adjustRightInd w:val="0"/>
        <w:snapToGrid w:val="0"/>
        <w:spacing w:line="460" w:lineRule="exact"/>
        <w:ind w:firstLine="562" w:firstLineChars="200"/>
        <w:jc w:val="left"/>
        <w:rPr>
          <w:rFonts w:ascii="宋体" w:hAnsi="宋体" w:cs="宋体"/>
          <w:b/>
          <w:color w:val="auto"/>
          <w:sz w:val="28"/>
          <w:szCs w:val="28"/>
          <w:highlight w:val="none"/>
        </w:rPr>
      </w:pPr>
      <w:r>
        <w:rPr>
          <w:rFonts w:hint="eastAsia" w:ascii="宋体" w:hAnsi="宋体" w:cs="宋体"/>
          <w:b/>
          <w:color w:val="auto"/>
          <w:sz w:val="28"/>
          <w:szCs w:val="28"/>
          <w:highlight w:val="none"/>
        </w:rPr>
        <w:t>投标文件由资格审查文件、商务技术文件、价格文件、电子响应文件四部分组成。</w:t>
      </w:r>
    </w:p>
    <w:p>
      <w:pPr>
        <w:adjustRightInd w:val="0"/>
        <w:snapToGrid w:val="0"/>
        <w:spacing w:line="460" w:lineRule="exact"/>
        <w:ind w:firstLine="562" w:firstLineChars="200"/>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一、资格审查文件（不能出现商务技术文件、价格文件）</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1.</w:t>
      </w:r>
      <w:r>
        <w:rPr>
          <w:rFonts w:hint="eastAsia" w:ascii="宋体" w:hAnsi="宋体" w:cs="宋体"/>
          <w:color w:val="auto"/>
          <w:kern w:val="0"/>
          <w:sz w:val="28"/>
          <w:szCs w:val="28"/>
          <w:highlight w:val="none"/>
        </w:rPr>
        <w:t>符合投标人资格要求的承诺函（格式见附件1）</w:t>
      </w:r>
      <w:r>
        <w:rPr>
          <w:rFonts w:hint="eastAsia" w:ascii="宋体" w:hAnsi="宋体" w:cs="宋体"/>
          <w:color w:val="auto"/>
          <w:kern w:val="0"/>
          <w:sz w:val="28"/>
          <w:szCs w:val="28"/>
          <w:highlight w:val="none"/>
          <w:lang w:val="zh-CN"/>
        </w:rPr>
        <w:t>；</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2.法定代表人身份证明书（格式见附件2）；</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3.法定代表人授权委托书原件，投标代表本人身份证复印件（格式见附件3），被授权人为投标服务商正式人员证明材料【提供①与投标服务商签订的有效劳动合同复印件；②社保机构出具并盖章的投标供应商为其缴纳2023年9月- 2024 年2月任意一个月的养老保险缴费清单复印件】；</w:t>
      </w:r>
    </w:p>
    <w:p>
      <w:pPr>
        <w:adjustRightInd w:val="0"/>
        <w:snapToGrid w:val="0"/>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zh-CN"/>
        </w:rPr>
        <w:t>4.</w:t>
      </w:r>
      <w:r>
        <w:rPr>
          <w:rFonts w:hint="eastAsia" w:ascii="宋体" w:hAnsi="宋体" w:cs="宋体"/>
          <w:color w:val="auto"/>
          <w:kern w:val="0"/>
          <w:sz w:val="28"/>
          <w:szCs w:val="28"/>
          <w:highlight w:val="none"/>
        </w:rPr>
        <w:t>有效的营业执照副本复印件；</w:t>
      </w:r>
    </w:p>
    <w:p>
      <w:pPr>
        <w:adjustRightInd w:val="0"/>
        <w:snapToGrid w:val="0"/>
        <w:spacing w:line="460" w:lineRule="exact"/>
        <w:ind w:firstLine="560" w:firstLineChars="20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5.</w:t>
      </w:r>
      <w:r>
        <w:rPr>
          <w:rFonts w:hint="eastAsia" w:ascii="宋体" w:hAnsi="宋体" w:cs="宋体"/>
          <w:color w:val="auto"/>
          <w:sz w:val="28"/>
          <w:szCs w:val="28"/>
          <w:highlight w:val="none"/>
          <w:lang w:eastAsia="zh-Hans"/>
        </w:rPr>
        <w:t>具有</w:t>
      </w:r>
      <w:r>
        <w:rPr>
          <w:rFonts w:hint="eastAsia" w:ascii="宋体" w:hAnsi="宋体" w:cs="宋体"/>
          <w:color w:val="auto"/>
          <w:sz w:val="28"/>
          <w:szCs w:val="28"/>
          <w:highlight w:val="none"/>
          <w:lang w:eastAsia="zh-CN"/>
        </w:rPr>
        <w:t>有效的</w:t>
      </w:r>
      <w:r>
        <w:rPr>
          <w:rFonts w:hint="eastAsia" w:ascii="宋体" w:hAnsi="宋体" w:cs="宋体"/>
          <w:color w:val="auto"/>
          <w:sz w:val="28"/>
          <w:szCs w:val="28"/>
          <w:highlight w:val="none"/>
        </w:rPr>
        <w:t>中华人民共和国</w:t>
      </w:r>
      <w:r>
        <w:rPr>
          <w:rFonts w:hint="eastAsia" w:ascii="宋体" w:hAnsi="宋体" w:cs="宋体"/>
          <w:color w:val="auto"/>
          <w:sz w:val="28"/>
          <w:szCs w:val="28"/>
          <w:highlight w:val="none"/>
          <w:lang w:val="zh-CN" w:eastAsia="zh-Hans"/>
        </w:rPr>
        <w:t>出版物经营许可证</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lang w:val="en-US" w:eastAsia="zh-CN"/>
        </w:rPr>
        <w:t>投标时提供证书复印件并加盖供应商公章</w:t>
      </w:r>
      <w:r>
        <w:rPr>
          <w:rFonts w:hint="eastAsia" w:ascii="宋体" w:hAnsi="宋体" w:cs="宋体"/>
          <w:color w:val="auto"/>
          <w:kern w:val="0"/>
          <w:sz w:val="28"/>
          <w:szCs w:val="28"/>
          <w:highlight w:val="none"/>
        </w:rPr>
        <w:t>；</w:t>
      </w:r>
    </w:p>
    <w:p>
      <w:pPr>
        <w:adjustRightInd w:val="0"/>
        <w:snapToGrid w:val="0"/>
        <w:spacing w:line="460" w:lineRule="exact"/>
        <w:ind w:firstLine="562" w:firstLineChars="200"/>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二、商务技术文件（不能出现价格文件）</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1.商务部分正负偏离表（格式见附件</w:t>
      </w:r>
      <w:r>
        <w:rPr>
          <w:rFonts w:hint="eastAsia" w:ascii="宋体" w:hAnsi="宋体" w:cs="宋体"/>
          <w:color w:val="auto"/>
          <w:kern w:val="0"/>
          <w:sz w:val="28"/>
          <w:szCs w:val="28"/>
          <w:highlight w:val="none"/>
        </w:rPr>
        <w:t>4</w:t>
      </w:r>
      <w:r>
        <w:rPr>
          <w:rFonts w:hint="eastAsia" w:ascii="宋体" w:hAnsi="宋体" w:cs="宋体"/>
          <w:color w:val="auto"/>
          <w:kern w:val="0"/>
          <w:sz w:val="28"/>
          <w:szCs w:val="28"/>
          <w:highlight w:val="none"/>
          <w:lang w:val="zh-CN"/>
        </w:rPr>
        <w:t>）；</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2.技术部分正负偏离表（格式见附件</w:t>
      </w:r>
      <w:r>
        <w:rPr>
          <w:rFonts w:hint="eastAsia" w:ascii="宋体" w:hAnsi="宋体" w:cs="宋体"/>
          <w:color w:val="auto"/>
          <w:kern w:val="0"/>
          <w:sz w:val="28"/>
          <w:szCs w:val="28"/>
          <w:highlight w:val="none"/>
        </w:rPr>
        <w:t>5</w:t>
      </w:r>
      <w:r>
        <w:rPr>
          <w:rFonts w:hint="eastAsia" w:ascii="宋体" w:hAnsi="宋体" w:cs="宋体"/>
          <w:color w:val="auto"/>
          <w:kern w:val="0"/>
          <w:sz w:val="28"/>
          <w:szCs w:val="28"/>
          <w:highlight w:val="none"/>
          <w:lang w:val="zh-CN"/>
        </w:rPr>
        <w:t>）。</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rPr>
        <w:t>3</w:t>
      </w:r>
      <w:r>
        <w:rPr>
          <w:rFonts w:hint="eastAsia" w:ascii="宋体" w:hAnsi="宋体" w:cs="宋体"/>
          <w:color w:val="auto"/>
          <w:kern w:val="0"/>
          <w:sz w:val="28"/>
          <w:szCs w:val="28"/>
          <w:highlight w:val="none"/>
          <w:lang w:val="zh-CN"/>
        </w:rPr>
        <w:t>.为方便评委评审，请供应商按评审办法中所涉及的事项顺序进行编制，可以补充相关材料；</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rPr>
        <w:t>4.</w:t>
      </w:r>
      <w:r>
        <w:rPr>
          <w:rFonts w:hint="eastAsia" w:ascii="宋体" w:hAnsi="宋体" w:cs="宋体"/>
          <w:color w:val="auto"/>
          <w:kern w:val="0"/>
          <w:sz w:val="28"/>
          <w:szCs w:val="28"/>
          <w:highlight w:val="none"/>
          <w:lang w:val="zh-CN"/>
        </w:rPr>
        <w:t>评审办法中未涉及的事项，供应商认为需要提交的其他资料。</w:t>
      </w:r>
    </w:p>
    <w:p>
      <w:pPr>
        <w:adjustRightInd w:val="0"/>
        <w:snapToGrid w:val="0"/>
        <w:spacing w:line="460" w:lineRule="exact"/>
        <w:ind w:firstLine="562" w:firstLineChars="200"/>
        <w:rPr>
          <w:rFonts w:ascii="宋体" w:hAnsi="宋体" w:cs="宋体"/>
          <w:b/>
          <w:bCs/>
          <w:color w:val="auto"/>
          <w:kern w:val="0"/>
          <w:sz w:val="28"/>
          <w:szCs w:val="28"/>
          <w:highlight w:val="none"/>
          <w:lang w:val="zh-CN"/>
        </w:rPr>
      </w:pPr>
      <w:r>
        <w:rPr>
          <w:rFonts w:hint="eastAsia" w:ascii="宋体" w:hAnsi="宋体" w:cs="宋体"/>
          <w:b/>
          <w:bCs/>
          <w:color w:val="auto"/>
          <w:kern w:val="0"/>
          <w:sz w:val="28"/>
          <w:szCs w:val="28"/>
          <w:highlight w:val="none"/>
          <w:lang w:val="zh-CN"/>
        </w:rPr>
        <w:t>三、价格文件（</w:t>
      </w:r>
      <w:r>
        <w:rPr>
          <w:rFonts w:hint="eastAsia" w:ascii="宋体" w:hAnsi="宋体" w:cs="宋体"/>
          <w:b/>
          <w:bCs/>
          <w:color w:val="auto"/>
          <w:kern w:val="0"/>
          <w:sz w:val="28"/>
          <w:szCs w:val="28"/>
          <w:highlight w:val="none"/>
          <w:lang w:val="en-US" w:eastAsia="zh-CN"/>
        </w:rPr>
        <w:t>分标段提供</w:t>
      </w:r>
      <w:r>
        <w:rPr>
          <w:rFonts w:hint="eastAsia" w:ascii="宋体" w:hAnsi="宋体" w:cs="宋体"/>
          <w:b/>
          <w:bCs/>
          <w:color w:val="auto"/>
          <w:kern w:val="0"/>
          <w:sz w:val="28"/>
          <w:szCs w:val="28"/>
          <w:highlight w:val="none"/>
          <w:lang w:val="zh-CN"/>
        </w:rPr>
        <w:t>）</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1.开标一览表（格式见附件</w:t>
      </w:r>
      <w:r>
        <w:rPr>
          <w:rFonts w:hint="eastAsia" w:ascii="宋体" w:hAnsi="宋体" w:cs="宋体"/>
          <w:color w:val="auto"/>
          <w:kern w:val="0"/>
          <w:sz w:val="28"/>
          <w:szCs w:val="28"/>
          <w:highlight w:val="none"/>
        </w:rPr>
        <w:t>6</w:t>
      </w:r>
      <w:r>
        <w:rPr>
          <w:rFonts w:hint="eastAsia" w:ascii="宋体" w:hAnsi="宋体" w:cs="宋体"/>
          <w:color w:val="auto"/>
          <w:kern w:val="0"/>
          <w:sz w:val="28"/>
          <w:szCs w:val="28"/>
          <w:highlight w:val="none"/>
          <w:lang w:val="zh-CN"/>
        </w:rPr>
        <w:t>）；</w:t>
      </w:r>
    </w:p>
    <w:p>
      <w:pPr>
        <w:adjustRightInd w:val="0"/>
        <w:snapToGrid w:val="0"/>
        <w:spacing w:line="460" w:lineRule="exact"/>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lang w:val="en-US" w:eastAsia="zh-CN"/>
        </w:rPr>
        <w:t>2</w:t>
      </w:r>
      <w:r>
        <w:rPr>
          <w:rFonts w:hint="eastAsia" w:ascii="宋体" w:hAnsi="宋体" w:cs="宋体"/>
          <w:color w:val="auto"/>
          <w:kern w:val="0"/>
          <w:sz w:val="28"/>
          <w:szCs w:val="28"/>
          <w:highlight w:val="none"/>
        </w:rPr>
        <w:t>.供应商信用承诺书（格式见附件7）。</w:t>
      </w:r>
    </w:p>
    <w:p>
      <w:pPr>
        <w:adjustRightInd w:val="0"/>
        <w:snapToGrid w:val="0"/>
        <w:spacing w:line="460" w:lineRule="exact"/>
        <w:ind w:firstLine="562" w:firstLineChars="200"/>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四、电子响应文件（一份、单独密封提供）</w:t>
      </w:r>
    </w:p>
    <w:p>
      <w:pPr>
        <w:adjustRightInd w:val="0"/>
        <w:snapToGrid w:val="0"/>
        <w:spacing w:line="460" w:lineRule="exact"/>
        <w:ind w:firstLine="560" w:firstLineChars="200"/>
        <w:rPr>
          <w:rFonts w:ascii="宋体" w:hAnsi="宋体" w:cs="宋体"/>
          <w:color w:val="auto"/>
          <w:kern w:val="0"/>
          <w:sz w:val="28"/>
          <w:szCs w:val="28"/>
          <w:highlight w:val="none"/>
          <w:lang w:val="zh-CN"/>
        </w:rPr>
      </w:pPr>
      <w:r>
        <w:rPr>
          <w:rFonts w:hint="eastAsia" w:ascii="宋体" w:hAnsi="宋体" w:cs="宋体"/>
          <w:color w:val="auto"/>
          <w:kern w:val="0"/>
          <w:sz w:val="28"/>
          <w:szCs w:val="28"/>
          <w:highlight w:val="none"/>
        </w:rPr>
        <w:t>电子响应文件的内容为“资格审查文件、商务技术文件、价格文件”的打印盖章（或电子签章）后的响应文件的扫描件（资格审查文件、商务技术文件、价格文件需分别逐页连续扫描为三个独立的PDF文件）。</w:t>
      </w:r>
    </w:p>
    <w:p>
      <w:pPr>
        <w:snapToGrid w:val="0"/>
        <w:spacing w:line="460" w:lineRule="exact"/>
        <w:contextualSpacing/>
        <w:rPr>
          <w:rFonts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br w:type="page"/>
      </w:r>
      <w:r>
        <w:rPr>
          <w:rFonts w:hint="eastAsia" w:ascii="宋体" w:hAnsi="宋体" w:cs="宋体"/>
          <w:color w:val="auto"/>
          <w:kern w:val="0"/>
          <w:sz w:val="32"/>
          <w:szCs w:val="32"/>
          <w:highlight w:val="none"/>
          <w:lang w:val="zh-CN"/>
        </w:rPr>
        <w:t>附件1</w:t>
      </w:r>
    </w:p>
    <w:p>
      <w:pPr>
        <w:spacing w:line="460" w:lineRule="exact"/>
        <w:jc w:val="center"/>
        <w:rPr>
          <w:rFonts w:ascii="宋体" w:hAnsi="宋体" w:cs="宋体"/>
          <w:b/>
          <w:color w:val="auto"/>
          <w:sz w:val="30"/>
          <w:szCs w:val="30"/>
          <w:highlight w:val="none"/>
        </w:rPr>
      </w:pPr>
    </w:p>
    <w:p>
      <w:pPr>
        <w:spacing w:line="460" w:lineRule="exact"/>
        <w:jc w:val="center"/>
        <w:rPr>
          <w:rFonts w:ascii="宋体" w:hAnsi="宋体" w:cs="宋体"/>
          <w:b/>
          <w:color w:val="auto"/>
          <w:sz w:val="30"/>
          <w:szCs w:val="30"/>
          <w:highlight w:val="none"/>
        </w:rPr>
      </w:pPr>
    </w:p>
    <w:p>
      <w:pPr>
        <w:spacing w:line="46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符合投标人资格要求的承诺函</w:t>
      </w:r>
    </w:p>
    <w:p>
      <w:pPr>
        <w:spacing w:line="460" w:lineRule="exact"/>
        <w:rPr>
          <w:rFonts w:ascii="宋体" w:hAnsi="宋体" w:cs="宋体"/>
          <w:b/>
          <w:bCs/>
          <w:color w:val="auto"/>
          <w:sz w:val="44"/>
          <w:szCs w:val="44"/>
          <w:highlight w:val="none"/>
        </w:rPr>
      </w:pPr>
      <w:r>
        <w:rPr>
          <w:rFonts w:hint="eastAsia" w:ascii="宋体" w:hAnsi="宋体" w:cs="宋体"/>
          <w:b/>
          <w:bCs/>
          <w:color w:val="auto"/>
          <w:sz w:val="24"/>
          <w:szCs w:val="21"/>
          <w:highlight w:val="none"/>
        </w:rPr>
        <w:t xml:space="preserve">                       </w:t>
      </w:r>
      <w:r>
        <w:rPr>
          <w:rFonts w:hint="eastAsia" w:ascii="宋体" w:hAnsi="宋体" w:cs="宋体"/>
          <w:b/>
          <w:bCs/>
          <w:color w:val="auto"/>
          <w:sz w:val="44"/>
          <w:szCs w:val="44"/>
          <w:highlight w:val="none"/>
        </w:rPr>
        <w:t xml:space="preserve">   </w:t>
      </w:r>
    </w:p>
    <w:p>
      <w:pPr>
        <w:spacing w:line="460" w:lineRule="exact"/>
        <w:ind w:firstLine="480" w:firstLineChars="200"/>
        <w:rPr>
          <w:rFonts w:ascii="宋体" w:hAnsi="宋体" w:cs="宋体"/>
          <w:b/>
          <w:bCs/>
          <w:color w:val="auto"/>
          <w:sz w:val="24"/>
          <w:highlight w:val="none"/>
        </w:rPr>
      </w:pPr>
      <w:r>
        <w:rPr>
          <w:rFonts w:hint="eastAsia" w:ascii="宋体" w:hAnsi="宋体" w:cs="宋体"/>
          <w:bCs/>
          <w:color w:val="auto"/>
          <w:sz w:val="24"/>
          <w:highlight w:val="none"/>
        </w:rPr>
        <w:t>我单位参加</w:t>
      </w:r>
      <w:r>
        <w:rPr>
          <w:rFonts w:hint="eastAsia" w:ascii="宋体" w:hAnsi="宋体" w:cs="宋体"/>
          <w:bCs/>
          <w:color w:val="auto"/>
          <w:sz w:val="24"/>
          <w:szCs w:val="21"/>
          <w:highlight w:val="none"/>
          <w:u w:val="single"/>
        </w:rPr>
        <w:t>________________ _</w:t>
      </w:r>
      <w:r>
        <w:rPr>
          <w:rFonts w:hint="eastAsia" w:ascii="宋体" w:hAnsi="宋体" w:cs="宋体"/>
          <w:bCs/>
          <w:color w:val="auto"/>
          <w:sz w:val="24"/>
          <w:szCs w:val="21"/>
          <w:highlight w:val="none"/>
        </w:rPr>
        <w:t>（项目名称），</w:t>
      </w:r>
      <w:r>
        <w:rPr>
          <w:rFonts w:hint="eastAsia" w:ascii="宋体" w:hAnsi="宋体" w:cs="宋体"/>
          <w:bCs/>
          <w:color w:val="auto"/>
          <w:sz w:val="24"/>
          <w:szCs w:val="21"/>
          <w:highlight w:val="none"/>
          <w:u w:val="single"/>
        </w:rPr>
        <w:t>_______ __________</w:t>
      </w:r>
      <w:r>
        <w:rPr>
          <w:rFonts w:hint="eastAsia" w:ascii="宋体" w:hAnsi="宋体" w:cs="宋体"/>
          <w:bCs/>
          <w:color w:val="auto"/>
          <w:sz w:val="24"/>
          <w:szCs w:val="21"/>
          <w:highlight w:val="none"/>
        </w:rPr>
        <w:t>（项目编号）投标活动。现做出如下承诺：</w:t>
      </w:r>
    </w:p>
    <w:p>
      <w:pPr>
        <w:spacing w:line="460" w:lineRule="exact"/>
        <w:ind w:firstLine="480" w:firstLineChars="200"/>
        <w:rPr>
          <w:rFonts w:ascii="宋体" w:hAnsi="宋体" w:cs="宋体"/>
          <w:color w:val="auto"/>
          <w:sz w:val="24"/>
          <w:highlight w:val="none"/>
        </w:rPr>
      </w:pPr>
      <w:r>
        <w:rPr>
          <w:rFonts w:hint="eastAsia" w:ascii="宋体" w:hAnsi="宋体" w:cs="宋体"/>
          <w:bCs/>
          <w:color w:val="auto"/>
          <w:sz w:val="24"/>
          <w:szCs w:val="21"/>
          <w:highlight w:val="none"/>
        </w:rPr>
        <w:t>1.我单位具有独立承担民事责任的能力；</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2.我单位具有良好的商业信誉和健全的财务会计制度；</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3.我单位具有履行合同所必需的设备和专业技术能力；</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4.我单位有依法缴纳税收和社会保障资金的良好记录；</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5.我单位参加采购活动前三年内，在经营活动中没有重大违法记录。</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6.我单位满足法律、行政法规规定的其他条件。</w:t>
      </w:r>
    </w:p>
    <w:p>
      <w:pPr>
        <w:spacing w:line="460" w:lineRule="exact"/>
        <w:ind w:firstLine="480" w:firstLineChars="200"/>
        <w:rPr>
          <w:rFonts w:ascii="宋体" w:hAnsi="宋体" w:cs="宋体"/>
          <w:color w:val="auto"/>
          <w:sz w:val="24"/>
          <w:highlight w:val="none"/>
        </w:rPr>
      </w:pPr>
    </w:p>
    <w:p>
      <w:pPr>
        <w:spacing w:line="460" w:lineRule="exact"/>
        <w:ind w:firstLine="480" w:firstLineChars="200"/>
        <w:rPr>
          <w:rFonts w:ascii="宋体" w:hAnsi="宋体" w:cs="宋体"/>
          <w:color w:val="auto"/>
          <w:sz w:val="24"/>
          <w:highlight w:val="none"/>
        </w:rPr>
      </w:pPr>
    </w:p>
    <w:p>
      <w:pPr>
        <w:spacing w:line="460" w:lineRule="exact"/>
        <w:ind w:firstLine="480" w:firstLineChars="200"/>
        <w:rPr>
          <w:rFonts w:ascii="宋体" w:hAnsi="宋体" w:cs="宋体"/>
          <w:bCs/>
          <w:color w:val="auto"/>
          <w:sz w:val="24"/>
          <w:szCs w:val="21"/>
          <w:highlight w:val="none"/>
        </w:rPr>
      </w:pPr>
    </w:p>
    <w:p>
      <w:pPr>
        <w:spacing w:line="460" w:lineRule="exact"/>
        <w:ind w:firstLine="480" w:firstLineChars="200"/>
        <w:rPr>
          <w:rFonts w:ascii="宋体" w:hAnsi="宋体" w:cs="宋体"/>
          <w:bCs/>
          <w:color w:val="auto"/>
          <w:sz w:val="24"/>
          <w:szCs w:val="21"/>
          <w:highlight w:val="none"/>
        </w:rPr>
      </w:pPr>
    </w:p>
    <w:p>
      <w:pPr>
        <w:spacing w:line="460" w:lineRule="exact"/>
        <w:ind w:firstLine="480" w:firstLineChars="200"/>
        <w:rPr>
          <w:rFonts w:ascii="宋体" w:hAnsi="宋体" w:cs="宋体"/>
          <w:bCs/>
          <w:color w:val="auto"/>
          <w:sz w:val="24"/>
          <w:szCs w:val="21"/>
          <w:highlight w:val="none"/>
        </w:rPr>
      </w:pPr>
    </w:p>
    <w:p>
      <w:pPr>
        <w:spacing w:line="460" w:lineRule="exact"/>
        <w:ind w:firstLine="480" w:firstLineChars="200"/>
        <w:jc w:val="center"/>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承诺人名称（公章）：</w:t>
      </w:r>
    </w:p>
    <w:p>
      <w:pPr>
        <w:spacing w:line="460" w:lineRule="exact"/>
        <w:ind w:firstLine="480" w:firstLineChars="200"/>
        <w:jc w:val="right"/>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w:t>
      </w:r>
    </w:p>
    <w:p>
      <w:pPr>
        <w:spacing w:line="460" w:lineRule="exact"/>
        <w:ind w:firstLine="480" w:firstLineChars="200"/>
        <w:jc w:val="right"/>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日期：</w:t>
      </w:r>
      <w:r>
        <w:rPr>
          <w:rFonts w:hint="eastAsia" w:ascii="宋体" w:hAnsi="宋体" w:cs="宋体"/>
          <w:bCs/>
          <w:color w:val="auto"/>
          <w:sz w:val="24"/>
          <w:szCs w:val="21"/>
          <w:highlight w:val="none"/>
          <w:u w:val="single"/>
        </w:rPr>
        <w:t>______</w:t>
      </w:r>
      <w:r>
        <w:rPr>
          <w:rFonts w:hint="eastAsia" w:ascii="宋体" w:hAnsi="宋体" w:cs="宋体"/>
          <w:bCs/>
          <w:color w:val="auto"/>
          <w:sz w:val="24"/>
          <w:szCs w:val="21"/>
          <w:highlight w:val="none"/>
        </w:rPr>
        <w:t>年</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月</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日</w:t>
      </w:r>
    </w:p>
    <w:p>
      <w:pPr>
        <w:spacing w:line="460" w:lineRule="exact"/>
        <w:jc w:val="right"/>
        <w:rPr>
          <w:rFonts w:ascii="宋体" w:hAnsi="宋体" w:cs="宋体"/>
          <w:bCs/>
          <w:color w:val="auto"/>
          <w:sz w:val="24"/>
          <w:szCs w:val="21"/>
          <w:highlight w:val="none"/>
        </w:rPr>
      </w:pPr>
    </w:p>
    <w:p>
      <w:pPr>
        <w:rPr>
          <w:rFonts w:ascii="宋体" w:hAnsi="宋体" w:cs="宋体"/>
          <w:color w:val="auto"/>
          <w:szCs w:val="21"/>
          <w:highlight w:val="none"/>
        </w:rPr>
      </w:pPr>
    </w:p>
    <w:p>
      <w:pPr>
        <w:snapToGrid w:val="0"/>
        <w:spacing w:line="400" w:lineRule="exact"/>
        <w:contextualSpacing/>
        <w:rPr>
          <w:rFonts w:ascii="宋体" w:hAnsi="宋体" w:cs="宋体"/>
          <w:b/>
          <w:color w:val="auto"/>
          <w:kern w:val="0"/>
          <w:sz w:val="28"/>
          <w:szCs w:val="28"/>
          <w:highlight w:val="none"/>
          <w:lang w:val="zh-CN"/>
        </w:rPr>
      </w:pPr>
    </w:p>
    <w:p>
      <w:pPr>
        <w:snapToGrid w:val="0"/>
        <w:spacing w:line="400" w:lineRule="exact"/>
        <w:contextualSpacing/>
        <w:rPr>
          <w:rFonts w:ascii="宋体" w:hAnsi="宋体" w:cs="宋体"/>
          <w:b/>
          <w:color w:val="auto"/>
          <w:kern w:val="0"/>
          <w:sz w:val="28"/>
          <w:szCs w:val="28"/>
          <w:highlight w:val="none"/>
          <w:lang w:val="zh-CN"/>
        </w:rPr>
      </w:pPr>
    </w:p>
    <w:p>
      <w:pPr>
        <w:snapToGrid w:val="0"/>
        <w:spacing w:line="460" w:lineRule="exact"/>
        <w:contextualSpacing/>
        <w:rPr>
          <w:rFonts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br w:type="page"/>
      </w:r>
      <w:r>
        <w:rPr>
          <w:rFonts w:hint="eastAsia" w:ascii="宋体" w:hAnsi="宋体" w:cs="宋体"/>
          <w:color w:val="auto"/>
          <w:kern w:val="0"/>
          <w:sz w:val="32"/>
          <w:szCs w:val="32"/>
          <w:highlight w:val="none"/>
          <w:lang w:val="zh-CN"/>
        </w:rPr>
        <w:t>附件2</w:t>
      </w:r>
    </w:p>
    <w:p>
      <w:pPr>
        <w:spacing w:line="460" w:lineRule="exact"/>
        <w:jc w:val="center"/>
        <w:rPr>
          <w:rFonts w:ascii="宋体" w:hAnsi="宋体" w:cs="宋体"/>
          <w:b/>
          <w:bCs/>
          <w:color w:val="auto"/>
          <w:sz w:val="32"/>
          <w:szCs w:val="32"/>
          <w:highlight w:val="none"/>
        </w:rPr>
      </w:pPr>
    </w:p>
    <w:p>
      <w:pPr>
        <w:spacing w:line="460" w:lineRule="exact"/>
        <w:jc w:val="center"/>
        <w:rPr>
          <w:rFonts w:ascii="宋体" w:hAnsi="宋体" w:cs="宋体"/>
          <w:b/>
          <w:bCs/>
          <w:color w:val="auto"/>
          <w:sz w:val="32"/>
          <w:szCs w:val="32"/>
          <w:highlight w:val="none"/>
        </w:rPr>
      </w:pPr>
    </w:p>
    <w:p>
      <w:pPr>
        <w:spacing w:line="460" w:lineRule="exact"/>
        <w:jc w:val="center"/>
        <w:rPr>
          <w:rFonts w:ascii="宋体" w:hAnsi="宋体" w:cs="宋体"/>
          <w:b/>
          <w:bCs/>
          <w:color w:val="auto"/>
          <w:sz w:val="32"/>
          <w:szCs w:val="32"/>
          <w:highlight w:val="none"/>
        </w:rPr>
      </w:pPr>
    </w:p>
    <w:p>
      <w:pPr>
        <w:spacing w:line="46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法定代表人身份证明</w:t>
      </w:r>
    </w:p>
    <w:p>
      <w:pPr>
        <w:spacing w:line="460" w:lineRule="exact"/>
        <w:rPr>
          <w:rFonts w:ascii="宋体" w:hAnsi="宋体" w:cs="宋体"/>
          <w:color w:val="auto"/>
          <w:sz w:val="24"/>
          <w:highlight w:val="none"/>
        </w:rPr>
      </w:pP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先生/女士： 现任我单位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职务，为法定代表人，特此证明。</w:t>
      </w:r>
    </w:p>
    <w:p>
      <w:pPr>
        <w:spacing w:line="460" w:lineRule="exact"/>
        <w:ind w:firstLine="480"/>
        <w:rPr>
          <w:rFonts w:ascii="宋体" w:hAnsi="宋体" w:cs="宋体"/>
          <w:color w:val="auto"/>
          <w:sz w:val="24"/>
          <w:highlight w:val="none"/>
          <w:u w:val="singl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spacing w:line="460" w:lineRule="exact"/>
        <w:ind w:firstLine="480"/>
        <w:rPr>
          <w:rFonts w:ascii="宋体" w:hAnsi="宋体" w:cs="宋体"/>
          <w:color w:val="auto"/>
          <w:sz w:val="24"/>
          <w:highlight w:val="none"/>
        </w:rPr>
      </w:pPr>
    </w:p>
    <w:p>
      <w:pPr>
        <w:spacing w:line="460" w:lineRule="exact"/>
        <w:rPr>
          <w:rFonts w:ascii="宋体" w:hAnsi="宋体" w:cs="宋体"/>
          <w:b/>
          <w:color w:val="auto"/>
          <w:sz w:val="24"/>
          <w:highlight w:val="none"/>
        </w:rPr>
      </w:pPr>
      <w:r>
        <w:rPr>
          <w:rFonts w:hint="eastAsia" w:ascii="宋体" w:hAnsi="宋体" w:cs="宋体"/>
          <w:b/>
          <w:color w:val="auto"/>
          <w:sz w:val="24"/>
          <w:highlight w:val="none"/>
        </w:rPr>
        <w:t>注：提供法定代表人的身份证复印件盖公章</w:t>
      </w:r>
    </w:p>
    <w:p>
      <w:pPr>
        <w:spacing w:line="460" w:lineRule="exact"/>
        <w:ind w:firstLine="480" w:firstLineChars="200"/>
        <w:rPr>
          <w:rFonts w:ascii="宋体" w:hAnsi="宋体" w:cs="宋体"/>
          <w:color w:val="auto"/>
          <w:sz w:val="24"/>
          <w:highlight w:val="none"/>
        </w:rPr>
      </w:pPr>
    </w:p>
    <w:p>
      <w:pPr>
        <w:spacing w:line="460" w:lineRule="exact"/>
        <w:rPr>
          <w:rFonts w:ascii="宋体" w:hAnsi="宋体" w:cs="宋体"/>
          <w:color w:val="auto"/>
          <w:highlight w:val="none"/>
        </w:rPr>
      </w:pPr>
    </w:p>
    <w:p>
      <w:pPr>
        <w:snapToGrid w:val="0"/>
        <w:spacing w:line="460" w:lineRule="exact"/>
        <w:ind w:firstLine="540" w:firstLineChars="192"/>
        <w:contextualSpacing/>
        <w:rPr>
          <w:rFonts w:ascii="宋体" w:hAnsi="宋体" w:cs="宋体"/>
          <w:b/>
          <w:color w:val="auto"/>
          <w:kern w:val="0"/>
          <w:sz w:val="28"/>
          <w:szCs w:val="28"/>
          <w:highlight w:val="none"/>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pStyle w:val="19"/>
        <w:rPr>
          <w:rFonts w:ascii="宋体" w:hAnsi="宋体" w:eastAsia="宋体" w:cs="宋体"/>
          <w:b/>
          <w:color w:val="auto"/>
          <w:szCs w:val="28"/>
          <w:highlight w:val="none"/>
          <w:lang w:val="zh-CN"/>
        </w:rPr>
      </w:pPr>
    </w:p>
    <w:p>
      <w:pPr>
        <w:pStyle w:val="20"/>
        <w:rPr>
          <w:rFonts w:ascii="宋体" w:hAnsi="宋体" w:cs="宋体"/>
          <w:color w:val="auto"/>
          <w:highlight w:val="none"/>
          <w:lang w:val="zh-CN"/>
        </w:rPr>
      </w:pPr>
    </w:p>
    <w:p>
      <w:pPr>
        <w:snapToGrid w:val="0"/>
        <w:spacing w:line="460" w:lineRule="exact"/>
        <w:ind w:firstLine="540" w:firstLineChars="192"/>
        <w:contextualSpacing/>
        <w:rPr>
          <w:rFonts w:ascii="宋体" w:hAnsi="宋体" w:cs="宋体"/>
          <w:b/>
          <w:color w:val="auto"/>
          <w:kern w:val="0"/>
          <w:sz w:val="28"/>
          <w:szCs w:val="28"/>
          <w:highlight w:val="none"/>
          <w:lang w:val="zh-CN"/>
        </w:rPr>
      </w:pPr>
    </w:p>
    <w:p>
      <w:pPr>
        <w:snapToGrid w:val="0"/>
        <w:spacing w:line="460" w:lineRule="exact"/>
        <w:contextualSpacing/>
        <w:rPr>
          <w:rFonts w:ascii="宋体" w:hAnsi="宋体" w:cs="宋体"/>
          <w:b/>
          <w:color w:val="auto"/>
          <w:kern w:val="0"/>
          <w:sz w:val="28"/>
          <w:szCs w:val="28"/>
          <w:highlight w:val="none"/>
          <w:lang w:val="zh-CN"/>
        </w:rPr>
      </w:pPr>
    </w:p>
    <w:p>
      <w:pPr>
        <w:snapToGrid w:val="0"/>
        <w:spacing w:line="460" w:lineRule="exact"/>
        <w:contextualSpacing/>
        <w:rPr>
          <w:rFonts w:ascii="宋体" w:hAnsi="宋体" w:cs="宋体"/>
          <w:color w:val="auto"/>
          <w:kern w:val="0"/>
          <w:sz w:val="32"/>
          <w:szCs w:val="32"/>
          <w:highlight w:val="none"/>
          <w:lang w:val="zh-CN"/>
        </w:rPr>
      </w:pPr>
    </w:p>
    <w:p>
      <w:pPr>
        <w:snapToGrid w:val="0"/>
        <w:spacing w:line="460" w:lineRule="exact"/>
        <w:contextualSpacing/>
        <w:rPr>
          <w:rFonts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t>附件3</w:t>
      </w:r>
    </w:p>
    <w:p>
      <w:pPr>
        <w:spacing w:line="460" w:lineRule="exact"/>
        <w:jc w:val="center"/>
        <w:rPr>
          <w:rFonts w:ascii="宋体" w:hAnsi="宋体" w:cs="宋体"/>
          <w:color w:val="auto"/>
          <w:sz w:val="32"/>
          <w:szCs w:val="32"/>
          <w:highlight w:val="none"/>
        </w:rPr>
      </w:pPr>
    </w:p>
    <w:p>
      <w:pPr>
        <w:spacing w:line="460" w:lineRule="exact"/>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法定代表人授权委托书</w:t>
      </w:r>
    </w:p>
    <w:p>
      <w:pPr>
        <w:spacing w:line="460" w:lineRule="exact"/>
        <w:ind w:firstLine="560" w:firstLineChars="200"/>
        <w:rPr>
          <w:rFonts w:ascii="宋体" w:hAnsi="宋体" w:cs="宋体"/>
          <w:color w:val="auto"/>
          <w:sz w:val="28"/>
          <w:szCs w:val="28"/>
          <w:highlight w:val="none"/>
        </w:rPr>
      </w:pP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人------（姓名）系————（授权单位名称）的法定代表人，现委托-------（姓名）（身份证号——————）为我方代理人，以我方名义全权处理与本次采购项目（编号：----------）有关的一切事务，其法律后果由我方承担。</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本授权书于---年---月---日起生效。代理人无转委托权。</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代理人(被授权人):------</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授权单位名称（盖章）：-----</w:t>
      </w:r>
    </w:p>
    <w:p>
      <w:pPr>
        <w:spacing w:line="4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授权单位法定代表人（签字或盖章）：-----</w:t>
      </w:r>
    </w:p>
    <w:p>
      <w:pPr>
        <w:spacing w:line="460" w:lineRule="exact"/>
        <w:ind w:firstLine="560" w:firstLineChars="200"/>
        <w:jc w:val="right"/>
        <w:rPr>
          <w:rFonts w:ascii="宋体" w:hAnsi="宋体" w:cs="宋体"/>
          <w:color w:val="auto"/>
          <w:sz w:val="28"/>
          <w:szCs w:val="28"/>
          <w:highlight w:val="none"/>
        </w:rPr>
      </w:pPr>
    </w:p>
    <w:p>
      <w:pPr>
        <w:spacing w:line="460" w:lineRule="exact"/>
        <w:ind w:firstLine="560" w:firstLineChars="200"/>
        <w:jc w:val="right"/>
        <w:rPr>
          <w:rFonts w:ascii="宋体" w:hAnsi="宋体" w:cs="宋体"/>
          <w:color w:val="auto"/>
          <w:sz w:val="28"/>
          <w:szCs w:val="28"/>
          <w:highlight w:val="none"/>
        </w:rPr>
      </w:pPr>
      <w:r>
        <w:rPr>
          <w:rFonts w:hint="eastAsia" w:ascii="宋体" w:hAnsi="宋体" w:cs="宋体"/>
          <w:color w:val="auto"/>
          <w:sz w:val="28"/>
          <w:szCs w:val="28"/>
          <w:highlight w:val="none"/>
        </w:rPr>
        <w:t>XXXX年XX月XX日</w:t>
      </w:r>
    </w:p>
    <w:p>
      <w:pPr>
        <w:snapToGrid w:val="0"/>
        <w:spacing w:line="460" w:lineRule="exact"/>
        <w:ind w:firstLine="562" w:firstLineChars="200"/>
        <w:contextualSpacing/>
        <w:rPr>
          <w:rFonts w:ascii="宋体" w:hAnsi="宋体" w:cs="宋体"/>
          <w:b/>
          <w:color w:val="auto"/>
          <w:kern w:val="0"/>
          <w:sz w:val="28"/>
          <w:szCs w:val="28"/>
          <w:highlight w:val="none"/>
        </w:rPr>
      </w:pPr>
    </w:p>
    <w:p>
      <w:pPr>
        <w:snapToGrid w:val="0"/>
        <w:spacing w:line="460" w:lineRule="exact"/>
        <w:ind w:firstLine="562" w:firstLineChars="200"/>
        <w:contextualSpacing/>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注：提供投标代表本人身份证复印件盖公章</w:t>
      </w: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pacing w:line="360" w:lineRule="exact"/>
        <w:outlineLvl w:val="3"/>
        <w:rPr>
          <w:rFonts w:ascii="宋体" w:hAnsi="宋体" w:cs="宋体"/>
          <w:b/>
          <w:color w:val="auto"/>
          <w:sz w:val="28"/>
          <w:szCs w:val="28"/>
          <w:highlight w:val="none"/>
          <w:lang w:bidi="ar"/>
        </w:rPr>
      </w:pPr>
      <w:r>
        <w:rPr>
          <w:rFonts w:hint="eastAsia" w:ascii="宋体" w:hAnsi="宋体" w:cs="宋体"/>
          <w:b/>
          <w:color w:val="auto"/>
          <w:sz w:val="32"/>
          <w:szCs w:val="32"/>
          <w:highlight w:val="none"/>
          <w:lang w:bidi="ar"/>
        </w:rPr>
        <w:br w:type="page"/>
      </w:r>
      <w:r>
        <w:rPr>
          <w:rFonts w:hint="eastAsia" w:ascii="宋体" w:hAnsi="宋体" w:cs="宋体"/>
          <w:color w:val="auto"/>
          <w:sz w:val="28"/>
          <w:szCs w:val="28"/>
          <w:highlight w:val="none"/>
        </w:rPr>
        <w:t>附件4</w:t>
      </w:r>
    </w:p>
    <w:p>
      <w:pPr>
        <w:snapToGrid w:val="0"/>
        <w:spacing w:line="300" w:lineRule="auto"/>
        <w:contextualSpacing/>
        <w:jc w:val="center"/>
        <w:rPr>
          <w:rFonts w:ascii="宋体" w:hAnsi="宋体" w:cs="宋体"/>
          <w:b/>
          <w:color w:val="auto"/>
          <w:sz w:val="28"/>
          <w:szCs w:val="28"/>
          <w:highlight w:val="none"/>
        </w:rPr>
      </w:pPr>
      <w:r>
        <w:rPr>
          <w:rFonts w:hint="eastAsia" w:ascii="宋体" w:hAnsi="宋体" w:cs="宋体"/>
          <w:b/>
          <w:color w:val="auto"/>
          <w:sz w:val="28"/>
          <w:szCs w:val="28"/>
          <w:highlight w:val="none"/>
        </w:rPr>
        <w:t>商务部分正负偏离表</w:t>
      </w:r>
    </w:p>
    <w:p>
      <w:pPr>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（由供应商据实填写，表格不够自行添加）</w:t>
      </w:r>
    </w:p>
    <w:tbl>
      <w:tblPr>
        <w:tblStyle w:val="36"/>
        <w:tblW w:w="5000" w:type="pct"/>
        <w:tblInd w:w="-1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221"/>
        <w:gridCol w:w="1896"/>
        <w:gridCol w:w="2153"/>
        <w:gridCol w:w="14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59"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序号</w:t>
            </w:r>
          </w:p>
        </w:tc>
        <w:tc>
          <w:tcPr>
            <w:tcW w:w="1302"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货物或服务名称</w:t>
            </w:r>
          </w:p>
        </w:tc>
        <w:tc>
          <w:tcPr>
            <w:tcW w:w="1111"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招标文件要求的商务条款</w:t>
            </w:r>
          </w:p>
        </w:tc>
        <w:tc>
          <w:tcPr>
            <w:tcW w:w="1262"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响应文件</w:t>
            </w:r>
          </w:p>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响应情况</w:t>
            </w:r>
          </w:p>
        </w:tc>
        <w:tc>
          <w:tcPr>
            <w:tcW w:w="864" w:type="pct"/>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cs="宋体"/>
                <w:color w:val="auto"/>
                <w:sz w:val="28"/>
                <w:szCs w:val="28"/>
                <w:highlight w:val="none"/>
              </w:rPr>
            </w:pPr>
          </w:p>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59"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1</w:t>
            </w:r>
          </w:p>
        </w:tc>
        <w:tc>
          <w:tcPr>
            <w:tcW w:w="1302"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111"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262"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864"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59"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2</w:t>
            </w:r>
          </w:p>
        </w:tc>
        <w:tc>
          <w:tcPr>
            <w:tcW w:w="1302"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111"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262"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864"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9"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3</w:t>
            </w:r>
          </w:p>
        </w:tc>
        <w:tc>
          <w:tcPr>
            <w:tcW w:w="1302"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111"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262"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864"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59"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4</w:t>
            </w:r>
          </w:p>
        </w:tc>
        <w:tc>
          <w:tcPr>
            <w:tcW w:w="1302"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111"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262"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864"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color w:val="auto"/>
                <w:sz w:val="28"/>
                <w:szCs w:val="28"/>
                <w:highlight w:val="none"/>
              </w:rPr>
            </w:pPr>
          </w:p>
        </w:tc>
      </w:tr>
    </w:tbl>
    <w:p>
      <w:pPr>
        <w:snapToGrid w:val="0"/>
        <w:spacing w:line="300" w:lineRule="auto"/>
        <w:contextualSpacing/>
        <w:rPr>
          <w:rFonts w:ascii="宋体" w:hAnsi="宋体" w:cs="宋体"/>
          <w:b/>
          <w:color w:val="auto"/>
          <w:sz w:val="28"/>
          <w:szCs w:val="28"/>
          <w:highlight w:val="none"/>
        </w:rPr>
      </w:pPr>
      <w:r>
        <w:rPr>
          <w:rFonts w:hint="eastAsia" w:ascii="宋体" w:hAnsi="宋体" w:cs="宋体"/>
          <w:b/>
          <w:color w:val="auto"/>
          <w:sz w:val="28"/>
          <w:szCs w:val="28"/>
          <w:highlight w:val="none"/>
        </w:rPr>
        <w:t>注：</w:t>
      </w:r>
    </w:p>
    <w:p>
      <w:pPr>
        <w:snapToGrid w:val="0"/>
        <w:spacing w:line="300" w:lineRule="auto"/>
        <w:ind w:firstLine="560" w:firstLineChars="200"/>
        <w:contextualSpacing/>
        <w:rPr>
          <w:rFonts w:ascii="宋体" w:hAnsi="宋体" w:cs="宋体"/>
          <w:color w:val="auto"/>
          <w:sz w:val="28"/>
          <w:szCs w:val="28"/>
          <w:highlight w:val="none"/>
        </w:rPr>
      </w:pPr>
      <w:r>
        <w:rPr>
          <w:rFonts w:hint="eastAsia" w:ascii="宋体" w:hAnsi="宋体" w:cs="宋体"/>
          <w:color w:val="auto"/>
          <w:sz w:val="28"/>
          <w:szCs w:val="28"/>
          <w:highlight w:val="none"/>
        </w:rPr>
        <w:t>1.供应商提交的响应文件中与采购文件第三部分“项目需求”中的商务部分的要求，应逐条填列在偏离表中。</w:t>
      </w:r>
    </w:p>
    <w:p>
      <w:pPr>
        <w:snapToGrid w:val="0"/>
        <w:spacing w:line="300" w:lineRule="auto"/>
        <w:ind w:firstLine="560" w:firstLineChars="200"/>
        <w:contextualSpacing/>
        <w:rPr>
          <w:rFonts w:ascii="宋体" w:hAnsi="宋体" w:cs="宋体"/>
          <w:color w:val="auto"/>
          <w:sz w:val="28"/>
          <w:szCs w:val="28"/>
          <w:highlight w:val="none"/>
        </w:rPr>
      </w:pPr>
      <w:r>
        <w:rPr>
          <w:rFonts w:hint="eastAsia" w:ascii="宋体" w:hAnsi="宋体" w:cs="宋体"/>
          <w:color w:val="auto"/>
          <w:sz w:val="28"/>
          <w:szCs w:val="28"/>
          <w:highlight w:val="none"/>
        </w:rPr>
        <w:t>2.“偏离说明”一栏选择“正偏离”、“负偏离”、“无偏离”进行填写。正偏离、负偏离、无偏离的确认，由评审小组认定。</w:t>
      </w:r>
    </w:p>
    <w:p>
      <w:pPr>
        <w:snapToGrid w:val="0"/>
        <w:spacing w:line="300" w:lineRule="auto"/>
        <w:ind w:firstLine="560" w:firstLineChars="200"/>
        <w:contextualSpacing/>
        <w:rPr>
          <w:rFonts w:ascii="宋体" w:hAnsi="宋体" w:cs="宋体"/>
          <w:bCs/>
          <w:color w:val="auto"/>
          <w:sz w:val="28"/>
          <w:szCs w:val="28"/>
          <w:highlight w:val="none"/>
        </w:rPr>
      </w:pPr>
      <w:r>
        <w:rPr>
          <w:rFonts w:hint="eastAsia" w:ascii="宋体" w:hAnsi="宋体" w:cs="宋体"/>
          <w:bCs/>
          <w:color w:val="auto"/>
          <w:sz w:val="28"/>
          <w:szCs w:val="28"/>
          <w:highlight w:val="none"/>
        </w:rPr>
        <w:t>3.供应商若提供其他增值服务，可以在表中自行据实填写。</w:t>
      </w: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ind w:firstLine="540" w:firstLineChars="192"/>
        <w:contextualSpacing/>
        <w:rPr>
          <w:rFonts w:ascii="宋体" w:hAnsi="宋体" w:cs="宋体"/>
          <w:b/>
          <w:color w:val="auto"/>
          <w:kern w:val="0"/>
          <w:sz w:val="28"/>
          <w:szCs w:val="28"/>
          <w:highlight w:val="none"/>
        </w:rPr>
      </w:pPr>
    </w:p>
    <w:p>
      <w:pPr>
        <w:snapToGrid w:val="0"/>
        <w:spacing w:line="400" w:lineRule="exact"/>
        <w:contextualSpacing/>
        <w:rPr>
          <w:rFonts w:ascii="宋体" w:hAnsi="宋体" w:cs="宋体"/>
          <w:color w:val="auto"/>
          <w:kern w:val="0"/>
          <w:sz w:val="28"/>
          <w:szCs w:val="28"/>
          <w:highlight w:val="none"/>
        </w:rPr>
      </w:pPr>
    </w:p>
    <w:p>
      <w:pPr>
        <w:rPr>
          <w:rFonts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color w:val="auto"/>
          <w:sz w:val="28"/>
          <w:szCs w:val="28"/>
          <w:highlight w:val="none"/>
        </w:rPr>
        <w:t>附件5</w:t>
      </w:r>
    </w:p>
    <w:p>
      <w:pPr>
        <w:snapToGrid w:val="0"/>
        <w:spacing w:line="300" w:lineRule="auto"/>
        <w:contextualSpacing/>
        <w:jc w:val="center"/>
        <w:rPr>
          <w:rFonts w:ascii="宋体" w:hAnsi="宋体" w:cs="宋体"/>
          <w:b/>
          <w:color w:val="auto"/>
          <w:sz w:val="28"/>
          <w:szCs w:val="28"/>
          <w:highlight w:val="none"/>
        </w:rPr>
      </w:pPr>
      <w:r>
        <w:rPr>
          <w:rFonts w:hint="eastAsia" w:ascii="宋体" w:hAnsi="宋体" w:cs="宋体"/>
          <w:b/>
          <w:color w:val="auto"/>
          <w:sz w:val="28"/>
          <w:szCs w:val="28"/>
          <w:highlight w:val="none"/>
        </w:rPr>
        <w:t>技术部分正负偏离表</w:t>
      </w:r>
    </w:p>
    <w:p>
      <w:pPr>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（由供应商据实填写，表格不够自行添加）</w:t>
      </w:r>
    </w:p>
    <w:tbl>
      <w:tblPr>
        <w:tblStyle w:val="36"/>
        <w:tblW w:w="5000" w:type="pct"/>
        <w:tblInd w:w="-1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
        <w:gridCol w:w="2139"/>
        <w:gridCol w:w="1943"/>
        <w:gridCol w:w="2506"/>
        <w:gridCol w:w="11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59"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货物或服务名称</w:t>
            </w:r>
          </w:p>
        </w:tc>
        <w:tc>
          <w:tcPr>
            <w:tcW w:w="1139"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招标文件要求的技术要求</w:t>
            </w:r>
          </w:p>
        </w:tc>
        <w:tc>
          <w:tcPr>
            <w:tcW w:w="1469"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响应文件响应情况</w:t>
            </w:r>
          </w:p>
        </w:tc>
        <w:tc>
          <w:tcPr>
            <w:tcW w:w="678" w:type="pct"/>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cs="宋体"/>
                <w:color w:val="auto"/>
                <w:sz w:val="28"/>
                <w:szCs w:val="28"/>
                <w:highlight w:val="none"/>
              </w:rPr>
            </w:pPr>
          </w:p>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59"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13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46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678"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59"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13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46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678"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9"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13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46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678"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59" w:type="pct"/>
            <w:tcBorders>
              <w:top w:val="single" w:color="auto" w:sz="6" w:space="0"/>
              <w:left w:val="single" w:color="auto" w:sz="12" w:space="0"/>
              <w:bottom w:val="single" w:color="auto" w:sz="6" w:space="0"/>
              <w:right w:val="single" w:color="auto" w:sz="6" w:space="0"/>
            </w:tcBorders>
          </w:tcPr>
          <w:p>
            <w:pPr>
              <w:spacing w:line="3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13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1469" w:type="pct"/>
            <w:tcBorders>
              <w:top w:val="single" w:color="auto" w:sz="6" w:space="0"/>
              <w:left w:val="single" w:color="auto" w:sz="6" w:space="0"/>
              <w:bottom w:val="single" w:color="auto" w:sz="6" w:space="0"/>
              <w:right w:val="single" w:color="auto" w:sz="6" w:space="0"/>
            </w:tcBorders>
            <w:vAlign w:val="center"/>
          </w:tcPr>
          <w:p>
            <w:pPr>
              <w:spacing w:line="340" w:lineRule="exact"/>
              <w:jc w:val="left"/>
              <w:rPr>
                <w:rFonts w:ascii="宋体" w:hAnsi="宋体" w:cs="宋体"/>
                <w:color w:val="auto"/>
                <w:sz w:val="28"/>
                <w:szCs w:val="28"/>
                <w:highlight w:val="none"/>
              </w:rPr>
            </w:pPr>
          </w:p>
        </w:tc>
        <w:tc>
          <w:tcPr>
            <w:tcW w:w="678" w:type="pct"/>
            <w:tcBorders>
              <w:top w:val="single" w:color="auto" w:sz="6" w:space="0"/>
              <w:left w:val="single" w:color="auto" w:sz="6" w:space="0"/>
              <w:bottom w:val="single" w:color="auto" w:sz="6" w:space="0"/>
              <w:right w:val="single" w:color="auto" w:sz="12" w:space="0"/>
            </w:tcBorders>
          </w:tcPr>
          <w:p>
            <w:pPr>
              <w:spacing w:line="340" w:lineRule="exact"/>
              <w:jc w:val="left"/>
              <w:rPr>
                <w:rFonts w:ascii="宋体" w:hAnsi="宋体" w:cs="宋体"/>
                <w:color w:val="auto"/>
                <w:sz w:val="28"/>
                <w:szCs w:val="28"/>
                <w:highlight w:val="none"/>
              </w:rPr>
            </w:pPr>
          </w:p>
        </w:tc>
      </w:tr>
    </w:tbl>
    <w:p>
      <w:pPr>
        <w:snapToGrid w:val="0"/>
        <w:spacing w:line="300" w:lineRule="auto"/>
        <w:contextualSpacing/>
        <w:rPr>
          <w:rFonts w:ascii="宋体" w:hAnsi="宋体" w:cs="宋体"/>
          <w:b/>
          <w:color w:val="auto"/>
          <w:sz w:val="28"/>
          <w:szCs w:val="28"/>
          <w:highlight w:val="none"/>
        </w:rPr>
      </w:pPr>
      <w:r>
        <w:rPr>
          <w:rFonts w:hint="eastAsia" w:ascii="宋体" w:hAnsi="宋体" w:cs="宋体"/>
          <w:b/>
          <w:color w:val="auto"/>
          <w:sz w:val="28"/>
          <w:szCs w:val="28"/>
          <w:highlight w:val="none"/>
        </w:rPr>
        <w:t>注：</w:t>
      </w:r>
    </w:p>
    <w:p>
      <w:pPr>
        <w:snapToGrid w:val="0"/>
        <w:spacing w:line="300" w:lineRule="auto"/>
        <w:ind w:firstLine="560" w:firstLineChars="200"/>
        <w:contextualSpacing/>
        <w:rPr>
          <w:rFonts w:ascii="宋体" w:hAnsi="宋体" w:cs="宋体"/>
          <w:color w:val="auto"/>
          <w:sz w:val="28"/>
          <w:szCs w:val="28"/>
          <w:highlight w:val="none"/>
        </w:rPr>
      </w:pPr>
      <w:r>
        <w:rPr>
          <w:rFonts w:hint="eastAsia" w:ascii="宋体" w:hAnsi="宋体" w:cs="宋体"/>
          <w:color w:val="auto"/>
          <w:sz w:val="28"/>
          <w:szCs w:val="28"/>
          <w:highlight w:val="none"/>
        </w:rPr>
        <w:t>1.供应商提交的响应文件中与采购文件第三部分“项目需求”中的技术部分的要求，应逐条填列在偏离表中。</w:t>
      </w:r>
    </w:p>
    <w:p>
      <w:pPr>
        <w:snapToGrid w:val="0"/>
        <w:spacing w:line="300" w:lineRule="auto"/>
        <w:ind w:firstLine="560" w:firstLineChars="200"/>
        <w:contextualSpacing/>
        <w:rPr>
          <w:rFonts w:ascii="宋体" w:hAnsi="宋体" w:cs="宋体"/>
          <w:color w:val="auto"/>
          <w:sz w:val="28"/>
          <w:szCs w:val="28"/>
          <w:highlight w:val="none"/>
        </w:rPr>
      </w:pPr>
      <w:r>
        <w:rPr>
          <w:rFonts w:hint="eastAsia" w:ascii="宋体" w:hAnsi="宋体" w:cs="宋体"/>
          <w:color w:val="auto"/>
          <w:sz w:val="28"/>
          <w:szCs w:val="28"/>
          <w:highlight w:val="none"/>
        </w:rPr>
        <w:t>2.“偏离说明”一栏选择“正偏离”、“负偏离”、“无偏离”进行填写。正偏离、负偏离、无偏离的确认，由评审小组认定。</w:t>
      </w:r>
    </w:p>
    <w:p>
      <w:pPr>
        <w:snapToGrid w:val="0"/>
        <w:spacing w:line="400" w:lineRule="exact"/>
        <w:ind w:firstLine="560" w:firstLineChars="200"/>
        <w:contextualSpacing/>
        <w:rPr>
          <w:rFonts w:ascii="宋体" w:hAnsi="宋体" w:cs="宋体"/>
          <w:bCs/>
          <w:color w:val="auto"/>
          <w:sz w:val="28"/>
          <w:szCs w:val="28"/>
          <w:highlight w:val="none"/>
        </w:rPr>
      </w:pPr>
      <w:r>
        <w:rPr>
          <w:rFonts w:hint="eastAsia" w:ascii="宋体" w:hAnsi="宋体" w:cs="宋体"/>
          <w:bCs/>
          <w:color w:val="auto"/>
          <w:sz w:val="28"/>
          <w:szCs w:val="28"/>
          <w:highlight w:val="none"/>
        </w:rPr>
        <w:t>3.供应商若提供其他增值服务，可以在表中自行据实填写。</w:t>
      </w:r>
    </w:p>
    <w:p>
      <w:pPr>
        <w:snapToGrid w:val="0"/>
        <w:spacing w:line="400" w:lineRule="exact"/>
        <w:contextualSpacing/>
        <w:rPr>
          <w:rFonts w:ascii="宋体" w:hAnsi="宋体" w:cs="宋体"/>
          <w:color w:val="auto"/>
          <w:kern w:val="0"/>
          <w:sz w:val="32"/>
          <w:szCs w:val="32"/>
          <w:highlight w:val="none"/>
        </w:rPr>
      </w:pPr>
      <w:r>
        <w:rPr>
          <w:rFonts w:hint="eastAsia" w:ascii="宋体" w:hAnsi="宋体" w:cs="宋体"/>
          <w:color w:val="auto"/>
          <w:kern w:val="0"/>
          <w:sz w:val="32"/>
          <w:szCs w:val="32"/>
          <w:highlight w:val="none"/>
        </w:rPr>
        <w:br w:type="page"/>
      </w:r>
      <w:r>
        <w:rPr>
          <w:rFonts w:hint="eastAsia" w:ascii="宋体" w:hAnsi="宋体" w:cs="宋体"/>
          <w:color w:val="auto"/>
          <w:kern w:val="0"/>
          <w:sz w:val="32"/>
          <w:szCs w:val="32"/>
          <w:highlight w:val="none"/>
        </w:rPr>
        <w:t>附件6</w:t>
      </w:r>
    </w:p>
    <w:p>
      <w:pPr>
        <w:snapToGrid w:val="0"/>
        <w:spacing w:line="520" w:lineRule="exac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1、开标一览表</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标段一</w:t>
      </w:r>
      <w:r>
        <w:rPr>
          <w:rFonts w:hint="eastAsia" w:ascii="宋体" w:hAnsi="宋体" w:cs="宋体"/>
          <w:b/>
          <w:bCs/>
          <w:color w:val="auto"/>
          <w:sz w:val="24"/>
          <w:highlight w:val="none"/>
          <w:lang w:eastAsia="zh-CN"/>
        </w:rPr>
        <w:t>）</w:t>
      </w:r>
    </w:p>
    <w:p>
      <w:pPr>
        <w:snapToGrid w:val="0"/>
        <w:spacing w:line="520" w:lineRule="exact"/>
        <w:rPr>
          <w:rFonts w:ascii="宋体" w:hAnsi="宋体" w:cs="宋体"/>
          <w:color w:val="auto"/>
          <w:sz w:val="24"/>
          <w:highlight w:val="none"/>
        </w:rPr>
      </w:pPr>
    </w:p>
    <w:tbl>
      <w:tblPr>
        <w:tblStyle w:val="36"/>
        <w:tblW w:w="861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5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756" w:type="dxa"/>
            <w:vAlign w:val="center"/>
          </w:tcPr>
          <w:p>
            <w:pPr>
              <w:kinsoku w:val="0"/>
              <w:topLinePunct/>
              <w:snapToGrid w:val="0"/>
              <w:spacing w:line="52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5860" w:type="dxa"/>
            <w:vAlign w:val="center"/>
          </w:tcPr>
          <w:p>
            <w:pPr>
              <w:kinsoku w:val="0"/>
              <w:topLinePunct/>
              <w:snapToGrid w:val="0"/>
              <w:spacing w:line="520" w:lineRule="exact"/>
              <w:rPr>
                <w:rFonts w:ascii="宋体" w:hAnsi="宋体" w:cs="宋体"/>
                <w:strike/>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756" w:type="dxa"/>
            <w:vAlign w:val="center"/>
          </w:tcPr>
          <w:p>
            <w:pPr>
              <w:kinsoku w:val="0"/>
              <w:topLinePunct/>
              <w:snapToGrid w:val="0"/>
              <w:spacing w:line="520" w:lineRule="exact"/>
              <w:jc w:val="center"/>
              <w:rPr>
                <w:rFonts w:ascii="宋体" w:hAnsi="宋体" w:cs="宋体"/>
                <w:color w:val="auto"/>
                <w:sz w:val="24"/>
                <w:highlight w:val="none"/>
              </w:rPr>
            </w:pPr>
            <w:r>
              <w:rPr>
                <w:rFonts w:hint="eastAsia" w:ascii="宋体" w:hAnsi="宋体" w:cs="宋体"/>
                <w:color w:val="auto"/>
                <w:sz w:val="24"/>
                <w:highlight w:val="none"/>
              </w:rPr>
              <w:t>项目编号</w:t>
            </w:r>
          </w:p>
        </w:tc>
        <w:tc>
          <w:tcPr>
            <w:tcW w:w="5860" w:type="dxa"/>
            <w:vAlign w:val="center"/>
          </w:tcPr>
          <w:p>
            <w:pPr>
              <w:kinsoku w:val="0"/>
              <w:topLinePunct/>
              <w:snapToGrid w:val="0"/>
              <w:spacing w:line="52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756" w:type="dxa"/>
            <w:vMerge w:val="restart"/>
            <w:vAlign w:val="center"/>
          </w:tcPr>
          <w:p>
            <w:pPr>
              <w:kinsoku w:val="0"/>
              <w:topLinePunct/>
              <w:snapToGrid w:val="0"/>
              <w:spacing w:line="520" w:lineRule="exact"/>
              <w:jc w:val="center"/>
              <w:rPr>
                <w:rFonts w:ascii="宋体" w:hAnsi="宋体" w:cs="宋体"/>
                <w:color w:val="auto"/>
                <w:sz w:val="24"/>
                <w:highlight w:val="none"/>
                <w:lang w:eastAsia="zh-Hans"/>
              </w:rPr>
            </w:pPr>
            <w:r>
              <w:rPr>
                <w:rFonts w:hint="eastAsia" w:ascii="宋体" w:hAnsi="宋体" w:cs="宋体"/>
                <w:color w:val="auto"/>
                <w:sz w:val="24"/>
                <w:highlight w:val="none"/>
                <w:lang w:eastAsia="zh-Hans"/>
              </w:rPr>
              <w:t>特价书</w:t>
            </w:r>
          </w:p>
        </w:tc>
        <w:tc>
          <w:tcPr>
            <w:tcW w:w="5860" w:type="dxa"/>
            <w:vAlign w:val="center"/>
          </w:tcPr>
          <w:p>
            <w:pPr>
              <w:kinsoku w:val="0"/>
              <w:topLinePunct/>
              <w:snapToGrid w:val="0"/>
              <w:spacing w:line="520" w:lineRule="exact"/>
              <w:rPr>
                <w:rFonts w:ascii="宋体" w:hAnsi="宋体" w:cs="宋体"/>
                <w:color w:val="auto"/>
                <w:sz w:val="24"/>
                <w:highlight w:val="none"/>
                <w:u w:val="single"/>
                <w:lang w:eastAsia="zh-Hans"/>
              </w:rPr>
            </w:pPr>
            <w:r>
              <w:rPr>
                <w:rFonts w:hint="eastAsia" w:ascii="宋体" w:hAnsi="宋体" w:cs="宋体"/>
                <w:color w:val="auto"/>
                <w:sz w:val="24"/>
                <w:highlight w:val="none"/>
                <w:lang w:val="en-US" w:eastAsia="zh-CN"/>
              </w:rPr>
              <w:t>总</w:t>
            </w:r>
            <w:r>
              <w:rPr>
                <w:rFonts w:hint="eastAsia" w:ascii="宋体" w:hAnsi="宋体" w:cs="宋体"/>
                <w:color w:val="auto"/>
                <w:sz w:val="24"/>
                <w:highlight w:val="none"/>
                <w:lang w:eastAsia="zh-Hans"/>
              </w:rPr>
              <w:t>码洋：</w:t>
            </w:r>
            <w:r>
              <w:rPr>
                <w:rFonts w:hint="eastAsia" w:ascii="宋体" w:hAnsi="宋体" w:cs="宋体"/>
                <w:color w:val="auto"/>
                <w:sz w:val="24"/>
                <w:highlight w:val="none"/>
                <w:u w:val="single"/>
                <w:lang w:eastAsia="zh-Hans"/>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756" w:type="dxa"/>
            <w:vMerge w:val="continue"/>
            <w:vAlign w:val="center"/>
          </w:tcPr>
          <w:p>
            <w:pPr>
              <w:kinsoku w:val="0"/>
              <w:topLinePunct/>
              <w:snapToGrid w:val="0"/>
              <w:spacing w:line="520" w:lineRule="exact"/>
              <w:rPr>
                <w:rFonts w:ascii="宋体" w:hAnsi="宋体" w:cs="宋体"/>
                <w:color w:val="auto"/>
                <w:highlight w:val="none"/>
              </w:rPr>
            </w:pPr>
          </w:p>
        </w:tc>
        <w:tc>
          <w:tcPr>
            <w:tcW w:w="5860" w:type="dxa"/>
            <w:vAlign w:val="center"/>
          </w:tcPr>
          <w:p>
            <w:pPr>
              <w:kinsoku w:val="0"/>
              <w:topLinePunct/>
              <w:snapToGrid w:val="0"/>
              <w:spacing w:line="520" w:lineRule="exact"/>
              <w:rPr>
                <w:rFonts w:ascii="宋体" w:hAnsi="宋体" w:cs="宋体"/>
                <w:color w:val="auto"/>
                <w:sz w:val="24"/>
                <w:highlight w:val="none"/>
                <w:u w:val="single"/>
                <w:lang w:eastAsia="zh-Hans"/>
              </w:rPr>
            </w:pPr>
            <w:r>
              <w:rPr>
                <w:rFonts w:hint="eastAsia" w:ascii="宋体" w:hAnsi="宋体" w:cs="宋体"/>
                <w:color w:val="auto"/>
                <w:sz w:val="24"/>
                <w:highlight w:val="none"/>
                <w:lang w:val="en-US" w:eastAsia="zh-CN"/>
              </w:rPr>
              <w:t>总</w:t>
            </w:r>
            <w:r>
              <w:rPr>
                <w:rFonts w:hint="eastAsia" w:ascii="宋体" w:hAnsi="宋体" w:cs="宋体"/>
                <w:color w:val="auto"/>
                <w:sz w:val="24"/>
                <w:highlight w:val="none"/>
                <w:lang w:eastAsia="zh-Hans"/>
              </w:rPr>
              <w:t>册数：</w:t>
            </w:r>
            <w:r>
              <w:rPr>
                <w:rFonts w:hint="eastAsia" w:ascii="宋体" w:hAnsi="宋体" w:cs="宋体"/>
                <w:color w:val="auto"/>
                <w:sz w:val="24"/>
                <w:highlight w:val="none"/>
                <w:u w:val="single"/>
                <w:lang w:eastAsia="zh-Hans"/>
              </w:rPr>
              <w:t xml:space="preserve">         册</w:t>
            </w:r>
          </w:p>
        </w:tc>
      </w:tr>
    </w:tbl>
    <w:p>
      <w:pPr>
        <w:kinsoku w:val="0"/>
        <w:topLinePunct/>
        <w:snapToGrid w:val="0"/>
        <w:spacing w:line="520" w:lineRule="exact"/>
        <w:rPr>
          <w:rFonts w:ascii="宋体" w:hAnsi="宋体" w:cs="宋体"/>
          <w:color w:val="auto"/>
          <w:sz w:val="24"/>
          <w:highlight w:val="none"/>
        </w:rPr>
      </w:pPr>
    </w:p>
    <w:p>
      <w:pPr>
        <w:kinsoku w:val="0"/>
        <w:topLinePunct/>
        <w:snapToGrid w:val="0"/>
        <w:spacing w:line="520" w:lineRule="exact"/>
        <w:rPr>
          <w:rFonts w:ascii="宋体" w:hAnsi="宋体" w:cs="宋体"/>
          <w:color w:val="auto"/>
          <w:sz w:val="24"/>
          <w:highlight w:val="none"/>
        </w:rPr>
      </w:pPr>
      <w:r>
        <w:rPr>
          <w:rFonts w:hint="eastAsia" w:ascii="宋体" w:hAnsi="宋体" w:cs="宋体"/>
          <w:color w:val="auto"/>
          <w:sz w:val="24"/>
          <w:highlight w:val="none"/>
        </w:rPr>
        <w:t xml:space="preserve">投标供应商：（盖章）             </w:t>
      </w:r>
    </w:p>
    <w:p>
      <w:pPr>
        <w:kinsoku w:val="0"/>
        <w:topLinePunct/>
        <w:snapToGrid w:val="0"/>
        <w:spacing w:line="520" w:lineRule="exact"/>
        <w:rPr>
          <w:rFonts w:ascii="宋体" w:hAnsi="宋体" w:cs="宋体"/>
          <w:color w:val="auto"/>
          <w:sz w:val="24"/>
          <w:highlight w:val="none"/>
        </w:rPr>
      </w:pPr>
      <w:r>
        <w:rPr>
          <w:rFonts w:hint="eastAsia" w:ascii="宋体" w:hAnsi="宋体" w:cs="宋体"/>
          <w:color w:val="auto"/>
          <w:sz w:val="24"/>
          <w:highlight w:val="none"/>
        </w:rPr>
        <w:t>法定代表人或被授权人（签字或盖章）：</w:t>
      </w:r>
    </w:p>
    <w:p>
      <w:pPr>
        <w:kinsoku w:val="0"/>
        <w:topLinePunct/>
        <w:snapToGrid w:val="0"/>
        <w:spacing w:line="520" w:lineRule="exact"/>
        <w:rPr>
          <w:rFonts w:ascii="宋体" w:hAnsi="宋体" w:cs="宋体"/>
          <w:color w:val="auto"/>
          <w:sz w:val="24"/>
          <w:highlight w:val="none"/>
        </w:rPr>
      </w:pPr>
      <w:r>
        <w:rPr>
          <w:rFonts w:hint="eastAsia" w:ascii="宋体" w:hAnsi="宋体" w:cs="宋体"/>
          <w:color w:val="auto"/>
          <w:sz w:val="24"/>
          <w:highlight w:val="none"/>
        </w:rPr>
        <w:t>日期：</w:t>
      </w:r>
    </w:p>
    <w:p>
      <w:pPr>
        <w:snapToGrid w:val="0"/>
        <w:spacing w:line="360" w:lineRule="auto"/>
        <w:ind w:firstLine="496" w:firstLineChars="206"/>
        <w:rPr>
          <w:rFonts w:ascii="宋体" w:hAnsi="宋体" w:cs="宋体"/>
          <w:b/>
          <w:bCs/>
          <w:color w:val="auto"/>
          <w:sz w:val="24"/>
          <w:highlight w:val="none"/>
        </w:rPr>
      </w:pPr>
    </w:p>
    <w:p>
      <w:pPr>
        <w:snapToGrid w:val="0"/>
        <w:spacing w:line="360" w:lineRule="auto"/>
        <w:ind w:firstLine="496" w:firstLineChars="206"/>
        <w:rPr>
          <w:rFonts w:ascii="宋体" w:hAnsi="宋体" w:cs="宋体"/>
          <w:color w:val="auto"/>
          <w:sz w:val="24"/>
          <w:highlight w:val="none"/>
        </w:rPr>
      </w:pPr>
      <w:r>
        <w:rPr>
          <w:rFonts w:hint="eastAsia" w:ascii="宋体" w:hAnsi="宋体" w:cs="宋体"/>
          <w:b/>
          <w:bCs/>
          <w:color w:val="auto"/>
          <w:sz w:val="24"/>
          <w:highlight w:val="none"/>
        </w:rPr>
        <w:t>注：</w:t>
      </w:r>
      <w:r>
        <w:rPr>
          <w:rFonts w:hint="eastAsia" w:ascii="宋体" w:hAnsi="宋体" w:cs="宋体"/>
          <w:color w:val="auto"/>
          <w:sz w:val="24"/>
          <w:highlight w:val="none"/>
        </w:rPr>
        <w:t>1、本表为格式表，不得自行改动，必须提供。</w:t>
      </w:r>
    </w:p>
    <w:p>
      <w:pPr>
        <w:snapToGrid w:val="0"/>
        <w:spacing w:line="360" w:lineRule="auto"/>
        <w:ind w:firstLine="976" w:firstLineChars="405"/>
        <w:rPr>
          <w:rFonts w:ascii="宋体" w:hAnsi="宋体" w:cs="宋体"/>
          <w:b/>
          <w:bCs/>
          <w:color w:val="auto"/>
          <w:sz w:val="24"/>
          <w:highlight w:val="none"/>
        </w:rPr>
      </w:pPr>
      <w:r>
        <w:rPr>
          <w:rFonts w:hint="eastAsia" w:ascii="宋体" w:hAnsi="宋体" w:cs="宋体"/>
          <w:b/>
          <w:bCs/>
          <w:color w:val="auto"/>
          <w:sz w:val="24"/>
          <w:highlight w:val="none"/>
        </w:rPr>
        <w:t>2、特价书：均为正版书，且为2012年以后出版的图书，供选图书品种数≥2万（其中2020至2024年出版的不少于35%），复本≤3册，总册数≥2.5万册，总码洋≥112万元（人民币），且实洋不超过22 万元（人民币）</w:t>
      </w:r>
      <w:r>
        <w:rPr>
          <w:rFonts w:hint="eastAsia" w:ascii="宋体" w:hAnsi="宋体" w:cs="宋体"/>
          <w:b/>
          <w:bCs/>
          <w:color w:val="auto"/>
          <w:sz w:val="24"/>
          <w:highlight w:val="none"/>
          <w:lang w:eastAsia="zh-CN"/>
        </w:rPr>
        <w:t>。</w:t>
      </w:r>
    </w:p>
    <w:p>
      <w:pPr>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报价包含所有采购产品的材料费、加工制作费、安装调试、运输到指定地点的装运费用（含装卸力资）、相关安装辅助材料费、成品保护费、检测费、税费、售后服务、培训等，全部费用，同时还包含为完成本项目所必须的其他辅助工作的相关费用及响应招标文件要求的所有费用。</w:t>
      </w:r>
    </w:p>
    <w:p>
      <w:pPr>
        <w:rPr>
          <w:rFonts w:hint="eastAsia" w:ascii="宋体" w:hAnsi="宋体" w:cs="宋体"/>
          <w:bCs/>
          <w:color w:val="auto"/>
          <w:sz w:val="32"/>
          <w:szCs w:val="32"/>
          <w:highlight w:val="none"/>
          <w:lang w:bidi="ar"/>
        </w:rPr>
      </w:pPr>
      <w:r>
        <w:rPr>
          <w:rFonts w:hint="eastAsia" w:ascii="宋体" w:hAnsi="宋体" w:cs="宋体"/>
          <w:bCs/>
          <w:color w:val="auto"/>
          <w:sz w:val="32"/>
          <w:szCs w:val="32"/>
          <w:highlight w:val="none"/>
          <w:lang w:bidi="ar"/>
        </w:rPr>
        <w:br w:type="page"/>
      </w:r>
    </w:p>
    <w:p>
      <w:pPr>
        <w:snapToGrid w:val="0"/>
        <w:spacing w:line="520" w:lineRule="exac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开标一览表</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标段二</w:t>
      </w:r>
      <w:r>
        <w:rPr>
          <w:rFonts w:hint="eastAsia" w:ascii="宋体" w:hAnsi="宋体" w:cs="宋体"/>
          <w:b/>
          <w:bCs/>
          <w:color w:val="auto"/>
          <w:sz w:val="24"/>
          <w:highlight w:val="none"/>
          <w:lang w:eastAsia="zh-CN"/>
        </w:rPr>
        <w:t>）</w:t>
      </w:r>
    </w:p>
    <w:p>
      <w:pPr>
        <w:snapToGrid w:val="0"/>
        <w:spacing w:line="520" w:lineRule="exact"/>
        <w:rPr>
          <w:rFonts w:ascii="宋体" w:hAnsi="宋体" w:cs="宋体"/>
          <w:color w:val="auto"/>
          <w:sz w:val="24"/>
          <w:highlight w:val="none"/>
        </w:rPr>
      </w:pPr>
    </w:p>
    <w:tbl>
      <w:tblPr>
        <w:tblStyle w:val="36"/>
        <w:tblW w:w="861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5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756" w:type="dxa"/>
            <w:vAlign w:val="center"/>
          </w:tcPr>
          <w:p>
            <w:pPr>
              <w:kinsoku w:val="0"/>
              <w:topLinePunct/>
              <w:snapToGrid w:val="0"/>
              <w:spacing w:line="52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5860" w:type="dxa"/>
            <w:vAlign w:val="center"/>
          </w:tcPr>
          <w:p>
            <w:pPr>
              <w:kinsoku w:val="0"/>
              <w:topLinePunct/>
              <w:snapToGrid w:val="0"/>
              <w:spacing w:line="520" w:lineRule="exact"/>
              <w:rPr>
                <w:rFonts w:ascii="宋体" w:hAnsi="宋体" w:cs="宋体"/>
                <w:strike/>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756" w:type="dxa"/>
            <w:vAlign w:val="center"/>
          </w:tcPr>
          <w:p>
            <w:pPr>
              <w:kinsoku w:val="0"/>
              <w:topLinePunct/>
              <w:snapToGrid w:val="0"/>
              <w:spacing w:line="520" w:lineRule="exact"/>
              <w:jc w:val="center"/>
              <w:rPr>
                <w:rFonts w:ascii="宋体" w:hAnsi="宋体" w:cs="宋体"/>
                <w:color w:val="auto"/>
                <w:sz w:val="24"/>
                <w:highlight w:val="none"/>
              </w:rPr>
            </w:pPr>
            <w:r>
              <w:rPr>
                <w:rFonts w:hint="eastAsia" w:ascii="宋体" w:hAnsi="宋体" w:cs="宋体"/>
                <w:color w:val="auto"/>
                <w:sz w:val="24"/>
                <w:highlight w:val="none"/>
              </w:rPr>
              <w:t>项目编号</w:t>
            </w:r>
          </w:p>
        </w:tc>
        <w:tc>
          <w:tcPr>
            <w:tcW w:w="5860" w:type="dxa"/>
            <w:vAlign w:val="center"/>
          </w:tcPr>
          <w:p>
            <w:pPr>
              <w:kinsoku w:val="0"/>
              <w:topLinePunct/>
              <w:snapToGrid w:val="0"/>
              <w:spacing w:line="52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756" w:type="dxa"/>
            <w:vAlign w:val="center"/>
          </w:tcPr>
          <w:p>
            <w:pPr>
              <w:kinsoku w:val="0"/>
              <w:topLinePunct/>
              <w:snapToGrid w:val="0"/>
              <w:spacing w:line="520" w:lineRule="exact"/>
              <w:jc w:val="center"/>
              <w:rPr>
                <w:rFonts w:ascii="宋体" w:hAnsi="宋体" w:cs="宋体"/>
                <w:color w:val="auto"/>
                <w:sz w:val="24"/>
                <w:highlight w:val="none"/>
                <w:lang w:eastAsia="zh-Hans"/>
              </w:rPr>
            </w:pPr>
            <w:r>
              <w:rPr>
                <w:rFonts w:hint="eastAsia" w:ascii="宋体" w:hAnsi="宋体" w:cs="宋体"/>
                <w:color w:val="auto"/>
                <w:sz w:val="24"/>
                <w:highlight w:val="none"/>
                <w:lang w:eastAsia="zh-Hans"/>
              </w:rPr>
              <w:t>正价书</w:t>
            </w:r>
          </w:p>
        </w:tc>
        <w:tc>
          <w:tcPr>
            <w:tcW w:w="5860" w:type="dxa"/>
            <w:vAlign w:val="center"/>
          </w:tcPr>
          <w:p>
            <w:pPr>
              <w:kinsoku w:val="0"/>
              <w:topLinePunct/>
              <w:snapToGrid w:val="0"/>
              <w:spacing w:line="520" w:lineRule="exac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lang w:eastAsia="zh-Hans"/>
              </w:rPr>
              <w:t>折扣：</w:t>
            </w:r>
            <w:r>
              <w:rPr>
                <w:rFonts w:hint="eastAsia" w:ascii="宋体" w:hAnsi="宋体" w:cs="宋体"/>
                <w:color w:val="auto"/>
                <w:sz w:val="24"/>
                <w:highlight w:val="none"/>
                <w:u w:val="single"/>
                <w:lang w:eastAsia="zh-Hans"/>
              </w:rPr>
              <w:t xml:space="preserve">      </w:t>
            </w:r>
            <w:r>
              <w:rPr>
                <w:rFonts w:hint="eastAsia" w:ascii="宋体" w:hAnsi="宋体" w:cs="宋体"/>
                <w:color w:val="auto"/>
                <w:sz w:val="24"/>
                <w:highlight w:val="none"/>
                <w:u w:val="single"/>
                <w:lang w:val="en-US" w:eastAsia="zh-CN"/>
              </w:rPr>
              <w:t>折</w:t>
            </w:r>
          </w:p>
        </w:tc>
      </w:tr>
    </w:tbl>
    <w:p>
      <w:pPr>
        <w:kinsoku w:val="0"/>
        <w:topLinePunct/>
        <w:snapToGrid w:val="0"/>
        <w:spacing w:line="520" w:lineRule="exact"/>
        <w:rPr>
          <w:rFonts w:ascii="宋体" w:hAnsi="宋体" w:cs="宋体"/>
          <w:color w:val="auto"/>
          <w:sz w:val="24"/>
          <w:highlight w:val="none"/>
        </w:rPr>
      </w:pPr>
    </w:p>
    <w:p>
      <w:pPr>
        <w:kinsoku w:val="0"/>
        <w:topLinePunct/>
        <w:snapToGrid w:val="0"/>
        <w:spacing w:line="520" w:lineRule="exact"/>
        <w:rPr>
          <w:rFonts w:ascii="宋体" w:hAnsi="宋体" w:cs="宋体"/>
          <w:color w:val="auto"/>
          <w:sz w:val="24"/>
          <w:highlight w:val="none"/>
        </w:rPr>
      </w:pPr>
      <w:r>
        <w:rPr>
          <w:rFonts w:hint="eastAsia" w:ascii="宋体" w:hAnsi="宋体" w:cs="宋体"/>
          <w:color w:val="auto"/>
          <w:sz w:val="24"/>
          <w:highlight w:val="none"/>
        </w:rPr>
        <w:t xml:space="preserve">投标供应商：（盖章）             </w:t>
      </w:r>
    </w:p>
    <w:p>
      <w:pPr>
        <w:kinsoku w:val="0"/>
        <w:topLinePunct/>
        <w:snapToGrid w:val="0"/>
        <w:spacing w:line="520" w:lineRule="exact"/>
        <w:rPr>
          <w:rFonts w:ascii="宋体" w:hAnsi="宋体" w:cs="宋体"/>
          <w:color w:val="auto"/>
          <w:sz w:val="24"/>
          <w:highlight w:val="none"/>
        </w:rPr>
      </w:pPr>
      <w:r>
        <w:rPr>
          <w:rFonts w:hint="eastAsia" w:ascii="宋体" w:hAnsi="宋体" w:cs="宋体"/>
          <w:color w:val="auto"/>
          <w:sz w:val="24"/>
          <w:highlight w:val="none"/>
        </w:rPr>
        <w:t>法定代表人或被授权人（签字或盖章）：</w:t>
      </w:r>
    </w:p>
    <w:p>
      <w:pPr>
        <w:kinsoku w:val="0"/>
        <w:topLinePunct/>
        <w:snapToGrid w:val="0"/>
        <w:spacing w:line="520" w:lineRule="exact"/>
        <w:rPr>
          <w:rFonts w:ascii="宋体" w:hAnsi="宋体" w:cs="宋体"/>
          <w:color w:val="auto"/>
          <w:sz w:val="24"/>
          <w:highlight w:val="none"/>
        </w:rPr>
      </w:pPr>
      <w:r>
        <w:rPr>
          <w:rFonts w:hint="eastAsia" w:ascii="宋体" w:hAnsi="宋体" w:cs="宋体"/>
          <w:color w:val="auto"/>
          <w:sz w:val="24"/>
          <w:highlight w:val="none"/>
        </w:rPr>
        <w:t>日期：</w:t>
      </w:r>
    </w:p>
    <w:p>
      <w:pPr>
        <w:snapToGrid w:val="0"/>
        <w:spacing w:line="360" w:lineRule="auto"/>
        <w:ind w:firstLine="496" w:firstLineChars="206"/>
        <w:rPr>
          <w:rFonts w:ascii="宋体" w:hAnsi="宋体" w:cs="宋体"/>
          <w:b/>
          <w:bCs/>
          <w:color w:val="auto"/>
          <w:sz w:val="24"/>
          <w:highlight w:val="none"/>
        </w:rPr>
      </w:pPr>
    </w:p>
    <w:p>
      <w:pPr>
        <w:snapToGrid w:val="0"/>
        <w:spacing w:line="360" w:lineRule="auto"/>
        <w:ind w:firstLine="496" w:firstLineChars="206"/>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注：</w:t>
      </w:r>
      <w:r>
        <w:rPr>
          <w:rFonts w:hint="eastAsia" w:ascii="宋体" w:hAnsi="宋体" w:cs="宋体"/>
          <w:color w:val="auto"/>
          <w:sz w:val="24"/>
          <w:highlight w:val="none"/>
        </w:rPr>
        <w:t>1、本表为格式表，不得自行改动，必须提供。</w:t>
      </w:r>
    </w:p>
    <w:p>
      <w:pPr>
        <w:spacing w:line="360" w:lineRule="auto"/>
        <w:ind w:firstLine="964" w:firstLineChars="400"/>
        <w:jc w:val="left"/>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、正价书：报价折扣上限为</w:t>
      </w:r>
      <w:r>
        <w:rPr>
          <w:rFonts w:hint="eastAsia" w:ascii="宋体" w:hAnsi="宋体" w:cs="宋体"/>
          <w:b/>
          <w:bCs/>
          <w:color w:val="auto"/>
          <w:sz w:val="24"/>
          <w:highlight w:val="none"/>
          <w:lang w:val="en-US" w:eastAsia="zh-CN"/>
        </w:rPr>
        <w:t>7.2</w:t>
      </w:r>
      <w:r>
        <w:rPr>
          <w:rFonts w:hint="eastAsia" w:ascii="宋体" w:hAnsi="宋体" w:cs="宋体"/>
          <w:b/>
          <w:bCs/>
          <w:color w:val="auto"/>
          <w:sz w:val="24"/>
          <w:highlight w:val="none"/>
        </w:rPr>
        <w:t>折（实洋与对应码洋比例不超过</w:t>
      </w:r>
      <w:r>
        <w:rPr>
          <w:rFonts w:hint="eastAsia" w:ascii="宋体" w:hAnsi="宋体" w:cs="宋体"/>
          <w:b/>
          <w:bCs/>
          <w:color w:val="auto"/>
          <w:sz w:val="24"/>
          <w:highlight w:val="none"/>
          <w:lang w:val="en-US" w:eastAsia="zh-CN"/>
        </w:rPr>
        <w:t>72</w:t>
      </w:r>
      <w:r>
        <w:rPr>
          <w:rFonts w:hint="eastAsia" w:ascii="宋体" w:hAnsi="宋体" w:cs="宋体"/>
          <w:b/>
          <w:bCs/>
          <w:color w:val="auto"/>
          <w:sz w:val="24"/>
          <w:highlight w:val="none"/>
        </w:rPr>
        <w:t>%）；投标报价（折扣）超过</w:t>
      </w:r>
      <w:r>
        <w:rPr>
          <w:rFonts w:hint="eastAsia" w:ascii="宋体" w:hAnsi="宋体" w:cs="宋体"/>
          <w:b/>
          <w:bCs/>
          <w:color w:val="auto"/>
          <w:sz w:val="24"/>
          <w:highlight w:val="none"/>
          <w:lang w:val="en-US" w:eastAsia="zh-CN"/>
        </w:rPr>
        <w:t>7.2</w:t>
      </w:r>
      <w:r>
        <w:rPr>
          <w:rFonts w:hint="eastAsia" w:ascii="宋体" w:hAnsi="宋体" w:cs="宋体"/>
          <w:b/>
          <w:bCs/>
          <w:color w:val="auto"/>
          <w:sz w:val="24"/>
          <w:highlight w:val="none"/>
        </w:rPr>
        <w:t>折的为无效投标。</w:t>
      </w:r>
    </w:p>
    <w:p>
      <w:pPr>
        <w:spacing w:line="360" w:lineRule="auto"/>
        <w:ind w:firstLine="960" w:firstLineChars="400"/>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报价包含所有采购产品的材料费、加工制作费、安装调试、运输到指定地点的装运费用（含装卸力资）、相关安装辅助材料费、成品保护费、检测费、税费、售后服务、培训等，全部费用，同时还包含为完成本项目所必须的其他辅助工作的相关费用及响应招标文件要求的所有费用。</w:t>
      </w:r>
    </w:p>
    <w:p>
      <w:pPr>
        <w:rPr>
          <w:rFonts w:hint="eastAsia" w:ascii="宋体" w:hAnsi="宋体" w:cs="宋体"/>
          <w:bCs/>
          <w:color w:val="auto"/>
          <w:sz w:val="32"/>
          <w:szCs w:val="32"/>
          <w:highlight w:val="none"/>
          <w:lang w:bidi="ar"/>
        </w:rPr>
      </w:pPr>
      <w:r>
        <w:rPr>
          <w:rFonts w:hint="eastAsia" w:ascii="宋体" w:hAnsi="宋体" w:cs="宋体"/>
          <w:bCs/>
          <w:color w:val="auto"/>
          <w:sz w:val="32"/>
          <w:szCs w:val="32"/>
          <w:highlight w:val="none"/>
          <w:lang w:bidi="ar"/>
        </w:rPr>
        <w:br w:type="page"/>
      </w:r>
    </w:p>
    <w:p>
      <w:pPr>
        <w:jc w:val="left"/>
        <w:rPr>
          <w:rFonts w:hint="eastAsia" w:ascii="宋体" w:hAnsi="宋体" w:eastAsia="宋体" w:cs="宋体"/>
          <w:bCs/>
          <w:color w:val="auto"/>
          <w:sz w:val="32"/>
          <w:szCs w:val="32"/>
          <w:highlight w:val="none"/>
          <w:lang w:eastAsia="zh-CN" w:bidi="ar"/>
        </w:rPr>
      </w:pPr>
      <w:r>
        <w:rPr>
          <w:rFonts w:hint="eastAsia" w:ascii="宋体" w:hAnsi="宋体" w:cs="宋体"/>
          <w:bCs/>
          <w:color w:val="auto"/>
          <w:sz w:val="32"/>
          <w:szCs w:val="32"/>
          <w:highlight w:val="none"/>
          <w:lang w:bidi="ar"/>
        </w:rPr>
        <w:t>附件</w:t>
      </w:r>
      <w:r>
        <w:rPr>
          <w:rFonts w:hint="eastAsia" w:ascii="宋体" w:hAnsi="宋体" w:cs="宋体"/>
          <w:bCs/>
          <w:color w:val="auto"/>
          <w:sz w:val="32"/>
          <w:szCs w:val="32"/>
          <w:highlight w:val="none"/>
          <w:lang w:val="en-US" w:eastAsia="zh-CN" w:bidi="ar"/>
        </w:rPr>
        <w:t>7</w:t>
      </w:r>
    </w:p>
    <w:p>
      <w:pPr>
        <w:spacing w:before="240" w:line="312" w:lineRule="auto"/>
        <w:jc w:val="center"/>
        <w:rPr>
          <w:rFonts w:ascii="宋体" w:hAnsi="宋体" w:cs="宋体"/>
          <w:b/>
          <w:color w:val="auto"/>
          <w:sz w:val="32"/>
          <w:szCs w:val="32"/>
          <w:highlight w:val="none"/>
          <w:lang w:bidi="ar"/>
        </w:rPr>
      </w:pPr>
      <w:r>
        <w:rPr>
          <w:rFonts w:hint="eastAsia" w:ascii="宋体" w:hAnsi="宋体" w:cs="宋体"/>
          <w:b/>
          <w:color w:val="auto"/>
          <w:sz w:val="32"/>
          <w:szCs w:val="32"/>
          <w:highlight w:val="none"/>
          <w:lang w:bidi="ar"/>
        </w:rPr>
        <w:t>供应商信用承诺书</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为营造公开、公平、公正的公共资源交易环境，树立诚信守法的投标人形象，本人代表本单位作出以下承诺：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二、严格依照国家和省、市、县关于政府采购等方面的法律、法规、规章、规范性文件，参加公共资源交易招标投标活动；积极履行社会责任，促进廉政建设；</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三、严格遵守即时信息公示规定，及时更新公共资源交易中心主体信息库中信息；</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四、自我约束、自我管理，守合同、重信用，不参与围标串标、弄虚作假、骗取中标、干扰评标、违约毁约、恶意投诉等行为，主动维护公共资源交易招标投标的良好秩序；</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六、自觉接受政府部门、行业组织、社会公众、新闻舆论等监督；</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七、上述承诺已向本单位员工作了宣传教育；</w:t>
      </w:r>
    </w:p>
    <w:p>
      <w:pPr>
        <w:tabs>
          <w:tab w:val="left" w:pos="4860"/>
        </w:tabs>
        <w:spacing w:line="588" w:lineRule="exact"/>
        <w:ind w:right="1560"/>
        <w:jc w:val="left"/>
        <w:rPr>
          <w:rFonts w:ascii="宋体" w:hAnsi="宋体" w:cs="宋体"/>
          <w:b/>
          <w:color w:val="auto"/>
          <w:kern w:val="0"/>
          <w:sz w:val="24"/>
          <w:highlight w:val="none"/>
          <w:lang w:val="zh-CN" w:bidi="ar"/>
        </w:rPr>
      </w:pPr>
      <w:r>
        <w:rPr>
          <w:rFonts w:hint="eastAsia" w:ascii="宋体" w:hAnsi="宋体" w:cs="宋体"/>
          <w:b/>
          <w:color w:val="auto"/>
          <w:kern w:val="0"/>
          <w:sz w:val="24"/>
          <w:highlight w:val="none"/>
          <w:lang w:val="zh-CN" w:bidi="ar"/>
        </w:rPr>
        <w:t>如有违反上述承诺的不良行为，本单位同意将其予以上网公示。</w:t>
      </w:r>
    </w:p>
    <w:p>
      <w:pPr>
        <w:spacing w:line="360" w:lineRule="auto"/>
        <w:ind w:firstLine="3080" w:firstLineChars="1100"/>
        <w:rPr>
          <w:rFonts w:ascii="宋体" w:hAnsi="宋体" w:cs="宋体"/>
          <w:color w:val="auto"/>
          <w:sz w:val="28"/>
          <w:szCs w:val="28"/>
          <w:highlight w:val="none"/>
        </w:rPr>
      </w:pPr>
      <w:r>
        <w:rPr>
          <w:rFonts w:hint="eastAsia" w:ascii="宋体" w:hAnsi="宋体" w:cs="宋体"/>
          <w:color w:val="auto"/>
          <w:sz w:val="28"/>
          <w:szCs w:val="28"/>
          <w:highlight w:val="none"/>
        </w:rPr>
        <w:t xml:space="preserve">  </w:t>
      </w:r>
    </w:p>
    <w:p>
      <w:pPr>
        <w:spacing w:line="360" w:lineRule="auto"/>
        <w:ind w:firstLine="3080" w:firstLineChars="1100"/>
        <w:jc w:val="center"/>
        <w:rPr>
          <w:rFonts w:ascii="宋体" w:hAnsi="宋体" w:cs="宋体"/>
          <w:color w:val="auto"/>
          <w:kern w:val="0"/>
          <w:sz w:val="28"/>
          <w:szCs w:val="28"/>
          <w:highlight w:val="none"/>
          <w:u w:val="single"/>
          <w:lang w:val="zh-CN"/>
        </w:rPr>
      </w:pPr>
      <w:r>
        <w:rPr>
          <w:rFonts w:hint="eastAsia" w:ascii="宋体" w:hAnsi="宋体" w:cs="宋体"/>
          <w:color w:val="auto"/>
          <w:kern w:val="0"/>
          <w:sz w:val="28"/>
          <w:szCs w:val="28"/>
          <w:highlight w:val="none"/>
          <w:lang w:val="zh-CN" w:bidi="ar"/>
        </w:rPr>
        <w:t>投标供应商全称(盖公章)：</w:t>
      </w:r>
    </w:p>
    <w:p>
      <w:pPr>
        <w:spacing w:line="360" w:lineRule="auto"/>
        <w:ind w:firstLine="2240" w:firstLineChars="800"/>
        <w:rPr>
          <w:rFonts w:ascii="宋体" w:hAnsi="宋体" w:cs="宋体"/>
          <w:color w:val="auto"/>
          <w:sz w:val="28"/>
          <w:szCs w:val="28"/>
          <w:highlight w:val="none"/>
          <w:u w:val="single"/>
          <w:lang w:val="zh-CN"/>
        </w:rPr>
      </w:pPr>
      <w:r>
        <w:rPr>
          <w:rFonts w:hint="eastAsia" w:ascii="宋体" w:hAnsi="宋体" w:cs="宋体"/>
          <w:color w:val="auto"/>
          <w:kern w:val="0"/>
          <w:sz w:val="28"/>
          <w:szCs w:val="28"/>
          <w:highlight w:val="none"/>
          <w:lang w:val="zh-CN" w:bidi="ar"/>
        </w:rPr>
        <w:t>法定代表人</w:t>
      </w:r>
      <w:r>
        <w:rPr>
          <w:rFonts w:hint="eastAsia" w:ascii="宋体" w:hAnsi="宋体" w:cs="宋体"/>
          <w:color w:val="auto"/>
          <w:kern w:val="0"/>
          <w:sz w:val="28"/>
          <w:szCs w:val="28"/>
          <w:highlight w:val="none"/>
          <w:lang w:bidi="ar"/>
        </w:rPr>
        <w:t>或授权委托人</w:t>
      </w:r>
      <w:r>
        <w:rPr>
          <w:rFonts w:hint="eastAsia" w:ascii="宋体" w:hAnsi="宋体" w:cs="宋体"/>
          <w:color w:val="auto"/>
          <w:kern w:val="0"/>
          <w:sz w:val="28"/>
          <w:szCs w:val="28"/>
          <w:highlight w:val="none"/>
          <w:lang w:val="zh-CN" w:bidi="ar"/>
        </w:rPr>
        <w:t>（签字或盖章）：</w:t>
      </w:r>
    </w:p>
    <w:p>
      <w:pPr>
        <w:snapToGrid w:val="0"/>
        <w:spacing w:line="300" w:lineRule="auto"/>
        <w:ind w:firstLine="3920" w:firstLineChars="1400"/>
        <w:outlineLvl w:val="0"/>
        <w:rPr>
          <w:rFonts w:ascii="宋体" w:hAnsi="宋体" w:cs="宋体"/>
          <w:color w:val="auto"/>
          <w:sz w:val="32"/>
          <w:szCs w:val="32"/>
          <w:highlight w:val="none"/>
        </w:rPr>
      </w:pPr>
      <w:r>
        <w:rPr>
          <w:rFonts w:hint="eastAsia" w:ascii="宋体" w:hAnsi="宋体" w:cs="宋体"/>
          <w:color w:val="auto"/>
          <w:kern w:val="0"/>
          <w:sz w:val="28"/>
          <w:szCs w:val="28"/>
          <w:highlight w:val="none"/>
          <w:lang w:val="zh-CN" w:bidi="ar"/>
        </w:rPr>
        <w:t>时间：  年  月   日</w:t>
      </w:r>
    </w:p>
    <w:p>
      <w:pPr>
        <w:snapToGrid w:val="0"/>
        <w:spacing w:line="300" w:lineRule="auto"/>
        <w:outlineLvl w:val="0"/>
        <w:rPr>
          <w:rFonts w:ascii="宋体" w:hAnsi="宋体" w:cs="宋体"/>
          <w:color w:val="auto"/>
          <w:sz w:val="32"/>
          <w:szCs w:val="32"/>
          <w:highlight w:val="none"/>
        </w:rPr>
      </w:pPr>
    </w:p>
    <w:p>
      <w:pPr>
        <w:snapToGrid w:val="0"/>
        <w:spacing w:line="300" w:lineRule="auto"/>
        <w:outlineLvl w:val="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val="en-US" w:eastAsia="zh-CN"/>
        </w:rPr>
        <w:t>8</w:t>
      </w:r>
    </w:p>
    <w:p>
      <w:pPr>
        <w:jc w:val="center"/>
        <w:rPr>
          <w:rFonts w:ascii="宋体" w:hAnsi="宋体" w:cs="宋体"/>
          <w:bCs/>
          <w:color w:val="auto"/>
          <w:sz w:val="44"/>
          <w:szCs w:val="44"/>
          <w:highlight w:val="none"/>
        </w:rPr>
      </w:pPr>
      <w:r>
        <w:rPr>
          <w:rFonts w:hint="eastAsia" w:ascii="宋体" w:hAnsi="宋体" w:cs="宋体"/>
          <w:bCs/>
          <w:color w:val="auto"/>
          <w:sz w:val="44"/>
          <w:szCs w:val="44"/>
          <w:highlight w:val="none"/>
        </w:rPr>
        <w:t>质疑函范本</w:t>
      </w:r>
    </w:p>
    <w:p>
      <w:pPr>
        <w:adjustRightInd w:val="0"/>
        <w:snapToGrid w:val="0"/>
        <w:spacing w:before="312" w:beforeLines="100"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一、质疑供应商基本信息</w:t>
      </w:r>
    </w:p>
    <w:p>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质疑供应商：</w:t>
      </w:r>
    </w:p>
    <w:p>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地址：邮编：</w:t>
      </w:r>
    </w:p>
    <w:p>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联系人：联系电话：</w:t>
      </w:r>
    </w:p>
    <w:p>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授权代表：</w:t>
      </w:r>
    </w:p>
    <w:p>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联系电话：</w:t>
      </w:r>
    </w:p>
    <w:p>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地址：邮编：</w:t>
      </w:r>
    </w:p>
    <w:p>
      <w:pPr>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二、质疑项目基本情况</w:t>
      </w:r>
    </w:p>
    <w:p>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质疑项目的名称：</w:t>
      </w:r>
    </w:p>
    <w:p>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质疑项目的编号：包号：</w:t>
      </w:r>
    </w:p>
    <w:p>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招标人名称：</w:t>
      </w:r>
    </w:p>
    <w:p>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采购文件获取日期：</w:t>
      </w:r>
    </w:p>
    <w:p>
      <w:pPr>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三、质疑事项具体内容</w:t>
      </w:r>
    </w:p>
    <w:p>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质疑事项1：</w:t>
      </w:r>
    </w:p>
    <w:p>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事实依据：</w:t>
      </w:r>
    </w:p>
    <w:p>
      <w:pPr>
        <w:adjustRightInd w:val="0"/>
        <w:snapToGrid w:val="0"/>
        <w:spacing w:line="360" w:lineRule="auto"/>
        <w:rPr>
          <w:rFonts w:ascii="宋体" w:hAnsi="宋体" w:cs="宋体"/>
          <w:color w:val="auto"/>
          <w:sz w:val="32"/>
          <w:szCs w:val="32"/>
          <w:highlight w:val="none"/>
        </w:rPr>
      </w:pPr>
    </w:p>
    <w:p>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法律依据：</w:t>
      </w:r>
    </w:p>
    <w:p>
      <w:pPr>
        <w:adjustRightInd w:val="0"/>
        <w:snapToGrid w:val="0"/>
        <w:spacing w:line="360" w:lineRule="auto"/>
        <w:rPr>
          <w:rFonts w:ascii="宋体" w:hAnsi="宋体" w:cs="宋体"/>
          <w:color w:val="auto"/>
          <w:sz w:val="32"/>
          <w:szCs w:val="32"/>
          <w:highlight w:val="none"/>
          <w:u w:val="dotted"/>
        </w:rPr>
      </w:pPr>
    </w:p>
    <w:p>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质疑事项2</w:t>
      </w:r>
    </w:p>
    <w:p>
      <w:pPr>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w:t>
      </w:r>
    </w:p>
    <w:p>
      <w:pPr>
        <w:adjustRightInd w:val="0"/>
        <w:snapToGrid w:val="0"/>
        <w:spacing w:line="360" w:lineRule="auto"/>
        <w:rPr>
          <w:rFonts w:ascii="宋体" w:hAnsi="宋体" w:cs="宋体"/>
          <w:bCs/>
          <w:color w:val="auto"/>
          <w:sz w:val="32"/>
          <w:szCs w:val="32"/>
          <w:highlight w:val="none"/>
        </w:rPr>
      </w:pPr>
      <w:r>
        <w:rPr>
          <w:rFonts w:hint="eastAsia" w:ascii="宋体" w:hAnsi="宋体" w:cs="宋体"/>
          <w:bCs/>
          <w:color w:val="auto"/>
          <w:sz w:val="32"/>
          <w:szCs w:val="32"/>
          <w:highlight w:val="none"/>
        </w:rPr>
        <w:t>四、与质疑事项相关的质疑请求</w:t>
      </w:r>
    </w:p>
    <w:p>
      <w:pPr>
        <w:adjustRightInd w:val="0"/>
        <w:snapToGrid w:val="0"/>
        <w:spacing w:line="360" w:lineRule="auto"/>
        <w:rPr>
          <w:rFonts w:ascii="宋体" w:hAnsi="宋体" w:cs="宋体"/>
          <w:color w:val="auto"/>
          <w:sz w:val="32"/>
          <w:szCs w:val="32"/>
          <w:highlight w:val="none"/>
          <w:u w:val="dotted"/>
        </w:rPr>
      </w:pPr>
      <w:r>
        <w:rPr>
          <w:rFonts w:hint="eastAsia" w:ascii="宋体" w:hAnsi="宋体" w:cs="宋体"/>
          <w:color w:val="auto"/>
          <w:sz w:val="32"/>
          <w:szCs w:val="32"/>
          <w:highlight w:val="none"/>
        </w:rPr>
        <w:t>请求：</w:t>
      </w:r>
    </w:p>
    <w:p>
      <w:pPr>
        <w:rPr>
          <w:rFonts w:ascii="宋体" w:hAnsi="宋体" w:cs="宋体"/>
          <w:color w:val="auto"/>
          <w:sz w:val="30"/>
          <w:szCs w:val="30"/>
          <w:highlight w:val="none"/>
        </w:rPr>
      </w:pPr>
      <w:r>
        <w:rPr>
          <w:rFonts w:hint="eastAsia" w:ascii="宋体" w:hAnsi="宋体" w:cs="宋体"/>
          <w:color w:val="auto"/>
          <w:sz w:val="30"/>
          <w:szCs w:val="30"/>
          <w:highlight w:val="none"/>
        </w:rPr>
        <w:t xml:space="preserve">签字(签章)：                   公章：                      </w:t>
      </w:r>
    </w:p>
    <w:p>
      <w:pPr>
        <w:rPr>
          <w:rFonts w:ascii="宋体" w:hAnsi="宋体" w:cs="宋体"/>
          <w:color w:val="auto"/>
          <w:sz w:val="30"/>
          <w:szCs w:val="30"/>
          <w:highlight w:val="none"/>
        </w:rPr>
      </w:pPr>
      <w:r>
        <w:rPr>
          <w:rFonts w:hint="eastAsia" w:ascii="宋体" w:hAnsi="宋体" w:cs="宋体"/>
          <w:color w:val="auto"/>
          <w:sz w:val="30"/>
          <w:szCs w:val="30"/>
          <w:highlight w:val="none"/>
        </w:rPr>
        <w:t xml:space="preserve">日期：    </w:t>
      </w:r>
    </w:p>
    <w:p>
      <w:pPr>
        <w:rPr>
          <w:rFonts w:ascii="宋体" w:hAnsi="宋体" w:cs="宋体"/>
          <w:color w:val="auto"/>
          <w:sz w:val="32"/>
          <w:szCs w:val="32"/>
          <w:highlight w:val="none"/>
        </w:rPr>
      </w:pPr>
    </w:p>
    <w:p>
      <w:pPr>
        <w:pStyle w:val="34"/>
        <w:ind w:firstLine="240"/>
        <w:rPr>
          <w:rFonts w:ascii="宋体" w:hAnsi="宋体" w:cs="宋体"/>
          <w:color w:val="auto"/>
          <w:highlight w:val="none"/>
        </w:rPr>
      </w:pPr>
    </w:p>
    <w:p>
      <w:pPr>
        <w:rPr>
          <w:rFonts w:ascii="宋体" w:hAnsi="宋体" w:cs="宋体"/>
          <w:b/>
          <w:color w:val="auto"/>
          <w:sz w:val="32"/>
          <w:szCs w:val="32"/>
          <w:highlight w:val="none"/>
        </w:rPr>
      </w:pPr>
      <w:r>
        <w:rPr>
          <w:rFonts w:hint="eastAsia" w:ascii="宋体" w:hAnsi="宋体" w:cs="宋体"/>
          <w:b/>
          <w:color w:val="auto"/>
          <w:sz w:val="32"/>
          <w:szCs w:val="32"/>
          <w:highlight w:val="none"/>
        </w:rPr>
        <w:t>质疑函制作说明：</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1.供应商提出质疑时，应提交质疑函和必要的证明材料。</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3.质疑供应商若对项目的某一分包进行质疑，质疑函中应列明具体分包号。</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4.质疑函的质疑事项应具体、明确，并有必要的事实依据和法律依据。</w:t>
      </w:r>
    </w:p>
    <w:p>
      <w:pPr>
        <w:widowControl/>
        <w:ind w:firstLine="640" w:firstLineChars="200"/>
        <w:jc w:val="left"/>
        <w:rPr>
          <w:rFonts w:ascii="宋体" w:hAnsi="宋体" w:cs="宋体"/>
          <w:color w:val="auto"/>
          <w:sz w:val="32"/>
          <w:szCs w:val="32"/>
          <w:highlight w:val="none"/>
        </w:rPr>
      </w:pPr>
      <w:r>
        <w:rPr>
          <w:rFonts w:hint="eastAsia" w:ascii="宋体" w:hAnsi="宋体" w:cs="宋体"/>
          <w:color w:val="auto"/>
          <w:sz w:val="32"/>
          <w:szCs w:val="32"/>
          <w:highlight w:val="none"/>
        </w:rPr>
        <w:t>5.质疑函的质疑请求应与质疑事项相关。</w:t>
      </w:r>
    </w:p>
    <w:p>
      <w:pPr>
        <w:widowControl/>
        <w:ind w:firstLine="640" w:firstLineChars="200"/>
        <w:jc w:val="left"/>
        <w:rPr>
          <w:rFonts w:ascii="宋体" w:hAnsi="宋体" w:cs="宋体"/>
          <w:color w:val="auto"/>
          <w:sz w:val="28"/>
          <w:szCs w:val="28"/>
          <w:highlight w:val="none"/>
        </w:rPr>
      </w:pPr>
      <w:r>
        <w:rPr>
          <w:rFonts w:hint="eastAsia" w:ascii="宋体" w:hAnsi="宋体" w:cs="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2</w:t>
    </w:r>
    <w: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r>
      <mc:AlternateContent>
        <mc:Choice Requires="wps">
          <w:drawing>
            <wp:anchor distT="0" distB="0" distL="0" distR="0" simplePos="0" relativeHeight="251659264" behindDoc="0" locked="0" layoutInCell="1" allowOverlap="1">
              <wp:simplePos x="0" y="0"/>
              <wp:positionH relativeFrom="page">
                <wp:align>right</wp:align>
              </wp:positionH>
              <wp:positionV relativeFrom="page">
                <wp:align>top</wp:align>
              </wp:positionV>
              <wp:extent cx="443865" cy="443865"/>
              <wp:effectExtent l="0" t="0" r="0" b="16510"/>
              <wp:wrapNone/>
              <wp:docPr id="5" name="文本框 5" descr="KONE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rPr>
                              <w:rFonts w:ascii="Arial" w:hAnsi="Arial" w:eastAsia="Arial" w:cs="Arial"/>
                              <w:color w:val="000000"/>
                              <w:sz w:val="16"/>
                              <w:szCs w:val="16"/>
                            </w:rPr>
                          </w:pPr>
                        </w:p>
                      </w:txbxContent>
                    </wps:txbx>
                    <wps:bodyPr rot="0" spcFirstLastPara="0" vertOverflow="overflow" horzOverflow="overflow" vert="horz" wrap="none" lIns="0" tIns="190500" rIns="254000" bIns="0" numCol="1" spcCol="0" rtlCol="0" fromWordArt="0" anchor="t" anchorCtr="0" forceAA="0" compatLnSpc="1">
                      <a:spAutoFit/>
                    </wps:bodyPr>
                  </wps:wsp>
                </a:graphicData>
              </a:graphic>
            </wp:anchor>
          </w:drawing>
        </mc:Choice>
        <mc:Fallback>
          <w:pict>
            <v:shape id="_x0000_s1026" o:spid="_x0000_s1026" o:spt="202" alt="KONE Internal" type="#_x0000_t202" style="position:absolute;left:0pt;height:34.95pt;width:34.95pt;mso-position-horizontal:right;mso-position-horizontal-relative:page;mso-position-vertical:top;mso-position-vertical-relative:page;mso-wrap-style:none;z-index:251659264;mso-width-relative:page;mso-height-relative:page;" filled="f" stroked="f" coordsize="21600,21600" o:gfxdata="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Dv7GtQAAAADAQAADwAAAAAAAAABACAAAAAiAAAAZHJzL2Rv&#10;d25yZXYueG1sUEsBAhQAFAAAAAgAh07iQCD8Rt8+AgAAagQAAA4AAAAAAAAAAQAgAAAAIwEAAGRy&#10;cy9lMm9Eb2MueG1sUEsFBgAAAAAGAAYAWQEAANMFAAAAAA==&#10;">
              <v:fill on="f" focussize="0,0"/>
              <v:stroke on="f"/>
              <v:imagedata o:title=""/>
              <o:lock v:ext="edit" aspectratio="f"/>
              <v:textbox inset="0mm,15pt,20pt,0mm" style="mso-fit-shape-to-text:t;">
                <w:txbxContent>
                  <w:p>
                    <w:pPr>
                      <w:rPr>
                        <w:rFonts w:ascii="Arial" w:hAnsi="Arial" w:eastAsia="Arial" w:cs="Arial"/>
                        <w:color w:val="000000"/>
                        <w:sz w:val="16"/>
                        <w:szCs w:val="1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A3F37"/>
    <w:multiLevelType w:val="multilevel"/>
    <w:tmpl w:val="38DA3F37"/>
    <w:lvl w:ilvl="0" w:tentative="0">
      <w:start w:val="1"/>
      <w:numFmt w:val="bullet"/>
      <w:pStyle w:val="128"/>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1">
    <w:nsid w:val="3B4A14A4"/>
    <w:multiLevelType w:val="singleLevel"/>
    <w:tmpl w:val="3B4A14A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3YmZiMGQ4YmRhNTFiMDg4Mjg4MGE0NzQ2OWNhYWEifQ=="/>
    <w:docVar w:name="KGWebUrl" w:val="http://jszfcg.jsczt.cn/jszc/gateWay/joffice/office?access_token=300b1800-803d-425e-b7b3-99806d8150e4"/>
    <w:docVar w:name="KSO_WPS_MARK_KEY" w:val="dc9524e9-0d5f-4bc5-b642-c69acf49d3a8"/>
  </w:docVars>
  <w:rsids>
    <w:rsidRoot w:val="0066708D"/>
    <w:rsid w:val="00000546"/>
    <w:rsid w:val="00000AB2"/>
    <w:rsid w:val="00001A88"/>
    <w:rsid w:val="00002A9B"/>
    <w:rsid w:val="00005EBA"/>
    <w:rsid w:val="000065AF"/>
    <w:rsid w:val="000103FA"/>
    <w:rsid w:val="00010733"/>
    <w:rsid w:val="0001111D"/>
    <w:rsid w:val="00011C32"/>
    <w:rsid w:val="00012EF0"/>
    <w:rsid w:val="000140D0"/>
    <w:rsid w:val="000144B7"/>
    <w:rsid w:val="00015136"/>
    <w:rsid w:val="00015ECD"/>
    <w:rsid w:val="000176B2"/>
    <w:rsid w:val="0001787A"/>
    <w:rsid w:val="000207EA"/>
    <w:rsid w:val="00020819"/>
    <w:rsid w:val="00020C52"/>
    <w:rsid w:val="0002112A"/>
    <w:rsid w:val="0002154A"/>
    <w:rsid w:val="00021B3F"/>
    <w:rsid w:val="0002219B"/>
    <w:rsid w:val="00023545"/>
    <w:rsid w:val="00023C3F"/>
    <w:rsid w:val="0002458D"/>
    <w:rsid w:val="0002533A"/>
    <w:rsid w:val="0002708D"/>
    <w:rsid w:val="000274F9"/>
    <w:rsid w:val="000277CD"/>
    <w:rsid w:val="00031AD6"/>
    <w:rsid w:val="00033FA3"/>
    <w:rsid w:val="00034346"/>
    <w:rsid w:val="00035051"/>
    <w:rsid w:val="000356E5"/>
    <w:rsid w:val="0003652A"/>
    <w:rsid w:val="00036F7E"/>
    <w:rsid w:val="00036FA3"/>
    <w:rsid w:val="00040669"/>
    <w:rsid w:val="0004264E"/>
    <w:rsid w:val="000431E3"/>
    <w:rsid w:val="0004496E"/>
    <w:rsid w:val="00044A66"/>
    <w:rsid w:val="00044ADE"/>
    <w:rsid w:val="000455CF"/>
    <w:rsid w:val="00045858"/>
    <w:rsid w:val="00046734"/>
    <w:rsid w:val="00046E7F"/>
    <w:rsid w:val="00047C17"/>
    <w:rsid w:val="00053E7A"/>
    <w:rsid w:val="0005583D"/>
    <w:rsid w:val="00056741"/>
    <w:rsid w:val="00056FCA"/>
    <w:rsid w:val="00057B6D"/>
    <w:rsid w:val="00057FCA"/>
    <w:rsid w:val="0006048F"/>
    <w:rsid w:val="000623F5"/>
    <w:rsid w:val="00062FB2"/>
    <w:rsid w:val="00063271"/>
    <w:rsid w:val="0006339F"/>
    <w:rsid w:val="000634B6"/>
    <w:rsid w:val="00065F50"/>
    <w:rsid w:val="000667DA"/>
    <w:rsid w:val="000668A4"/>
    <w:rsid w:val="0006738D"/>
    <w:rsid w:val="00067715"/>
    <w:rsid w:val="00067F36"/>
    <w:rsid w:val="000713A7"/>
    <w:rsid w:val="00071E47"/>
    <w:rsid w:val="00071F57"/>
    <w:rsid w:val="0007260D"/>
    <w:rsid w:val="00073424"/>
    <w:rsid w:val="00073BED"/>
    <w:rsid w:val="00074988"/>
    <w:rsid w:val="0007540B"/>
    <w:rsid w:val="00075842"/>
    <w:rsid w:val="00076AE9"/>
    <w:rsid w:val="00076F71"/>
    <w:rsid w:val="0007742F"/>
    <w:rsid w:val="0008009E"/>
    <w:rsid w:val="0008018D"/>
    <w:rsid w:val="00081396"/>
    <w:rsid w:val="00082843"/>
    <w:rsid w:val="00082CBF"/>
    <w:rsid w:val="00083333"/>
    <w:rsid w:val="000839F1"/>
    <w:rsid w:val="00084436"/>
    <w:rsid w:val="00084DE0"/>
    <w:rsid w:val="00085157"/>
    <w:rsid w:val="00085D79"/>
    <w:rsid w:val="00085EFE"/>
    <w:rsid w:val="00085F42"/>
    <w:rsid w:val="00085F63"/>
    <w:rsid w:val="000860FE"/>
    <w:rsid w:val="0008766A"/>
    <w:rsid w:val="00090915"/>
    <w:rsid w:val="00090BE7"/>
    <w:rsid w:val="00091CD8"/>
    <w:rsid w:val="0009490F"/>
    <w:rsid w:val="00094B87"/>
    <w:rsid w:val="000954BA"/>
    <w:rsid w:val="0009592A"/>
    <w:rsid w:val="0009616F"/>
    <w:rsid w:val="00096BFB"/>
    <w:rsid w:val="00097BCB"/>
    <w:rsid w:val="000A096A"/>
    <w:rsid w:val="000A0EF7"/>
    <w:rsid w:val="000A0EF8"/>
    <w:rsid w:val="000A15A0"/>
    <w:rsid w:val="000A2563"/>
    <w:rsid w:val="000A3F28"/>
    <w:rsid w:val="000A5187"/>
    <w:rsid w:val="000A57C8"/>
    <w:rsid w:val="000A58DC"/>
    <w:rsid w:val="000A7BC8"/>
    <w:rsid w:val="000A7EB6"/>
    <w:rsid w:val="000A7F6B"/>
    <w:rsid w:val="000B003D"/>
    <w:rsid w:val="000B07BD"/>
    <w:rsid w:val="000B0A49"/>
    <w:rsid w:val="000B15CC"/>
    <w:rsid w:val="000B1722"/>
    <w:rsid w:val="000B3041"/>
    <w:rsid w:val="000B5449"/>
    <w:rsid w:val="000B5677"/>
    <w:rsid w:val="000B58E2"/>
    <w:rsid w:val="000B6AFD"/>
    <w:rsid w:val="000B78B3"/>
    <w:rsid w:val="000B7CF5"/>
    <w:rsid w:val="000C0636"/>
    <w:rsid w:val="000C0D0D"/>
    <w:rsid w:val="000C25FD"/>
    <w:rsid w:val="000C3603"/>
    <w:rsid w:val="000C4F19"/>
    <w:rsid w:val="000C515F"/>
    <w:rsid w:val="000C54C8"/>
    <w:rsid w:val="000C58C8"/>
    <w:rsid w:val="000C6322"/>
    <w:rsid w:val="000C661B"/>
    <w:rsid w:val="000C6D20"/>
    <w:rsid w:val="000C6FFF"/>
    <w:rsid w:val="000C7774"/>
    <w:rsid w:val="000D0DE2"/>
    <w:rsid w:val="000D190E"/>
    <w:rsid w:val="000D1FC9"/>
    <w:rsid w:val="000D2BD4"/>
    <w:rsid w:val="000D2EFF"/>
    <w:rsid w:val="000D455E"/>
    <w:rsid w:val="000D4848"/>
    <w:rsid w:val="000D4C7D"/>
    <w:rsid w:val="000D53CE"/>
    <w:rsid w:val="000D5A2E"/>
    <w:rsid w:val="000D5A42"/>
    <w:rsid w:val="000D5B2C"/>
    <w:rsid w:val="000D63AA"/>
    <w:rsid w:val="000D682C"/>
    <w:rsid w:val="000D6D29"/>
    <w:rsid w:val="000D7507"/>
    <w:rsid w:val="000D7E1A"/>
    <w:rsid w:val="000E0BDF"/>
    <w:rsid w:val="000E13C5"/>
    <w:rsid w:val="000E190A"/>
    <w:rsid w:val="000E29B5"/>
    <w:rsid w:val="000E3129"/>
    <w:rsid w:val="000E3178"/>
    <w:rsid w:val="000E386B"/>
    <w:rsid w:val="000E3BA3"/>
    <w:rsid w:val="000E458D"/>
    <w:rsid w:val="000E66B5"/>
    <w:rsid w:val="000E6876"/>
    <w:rsid w:val="000E69A2"/>
    <w:rsid w:val="000E6D6C"/>
    <w:rsid w:val="000E76D0"/>
    <w:rsid w:val="000E7DCC"/>
    <w:rsid w:val="000F07A2"/>
    <w:rsid w:val="000F11C4"/>
    <w:rsid w:val="000F1FA3"/>
    <w:rsid w:val="000F3E9B"/>
    <w:rsid w:val="000F4096"/>
    <w:rsid w:val="000F4358"/>
    <w:rsid w:val="000F4E0F"/>
    <w:rsid w:val="000F553D"/>
    <w:rsid w:val="000F5999"/>
    <w:rsid w:val="000F5CF5"/>
    <w:rsid w:val="000F63C9"/>
    <w:rsid w:val="000F7710"/>
    <w:rsid w:val="000F7B55"/>
    <w:rsid w:val="000F7E6C"/>
    <w:rsid w:val="00100340"/>
    <w:rsid w:val="001009A1"/>
    <w:rsid w:val="001019ED"/>
    <w:rsid w:val="00102701"/>
    <w:rsid w:val="00102AE0"/>
    <w:rsid w:val="00103948"/>
    <w:rsid w:val="00104837"/>
    <w:rsid w:val="00104B62"/>
    <w:rsid w:val="00104F7C"/>
    <w:rsid w:val="001053C5"/>
    <w:rsid w:val="001072DB"/>
    <w:rsid w:val="00107435"/>
    <w:rsid w:val="001106D9"/>
    <w:rsid w:val="0011159C"/>
    <w:rsid w:val="00113481"/>
    <w:rsid w:val="00113BB9"/>
    <w:rsid w:val="00114978"/>
    <w:rsid w:val="00114F16"/>
    <w:rsid w:val="001153F6"/>
    <w:rsid w:val="001178DB"/>
    <w:rsid w:val="00117AFB"/>
    <w:rsid w:val="00117E6F"/>
    <w:rsid w:val="00122C11"/>
    <w:rsid w:val="00123015"/>
    <w:rsid w:val="001231D6"/>
    <w:rsid w:val="00126278"/>
    <w:rsid w:val="00130180"/>
    <w:rsid w:val="00131BEC"/>
    <w:rsid w:val="00131DDD"/>
    <w:rsid w:val="0013222E"/>
    <w:rsid w:val="0013301F"/>
    <w:rsid w:val="0013336A"/>
    <w:rsid w:val="00133842"/>
    <w:rsid w:val="00133A76"/>
    <w:rsid w:val="00134655"/>
    <w:rsid w:val="0013596A"/>
    <w:rsid w:val="00135ACB"/>
    <w:rsid w:val="00135FAC"/>
    <w:rsid w:val="001363E8"/>
    <w:rsid w:val="0013686A"/>
    <w:rsid w:val="00136C12"/>
    <w:rsid w:val="00142F1A"/>
    <w:rsid w:val="00144AE9"/>
    <w:rsid w:val="00145A1C"/>
    <w:rsid w:val="001462E0"/>
    <w:rsid w:val="00146479"/>
    <w:rsid w:val="00146643"/>
    <w:rsid w:val="00147766"/>
    <w:rsid w:val="00152826"/>
    <w:rsid w:val="001546EC"/>
    <w:rsid w:val="0015474F"/>
    <w:rsid w:val="00154AF5"/>
    <w:rsid w:val="001550C0"/>
    <w:rsid w:val="00155ECE"/>
    <w:rsid w:val="0015612C"/>
    <w:rsid w:val="00156E3A"/>
    <w:rsid w:val="00157D64"/>
    <w:rsid w:val="001608D5"/>
    <w:rsid w:val="00161A82"/>
    <w:rsid w:val="0016272D"/>
    <w:rsid w:val="00162CC5"/>
    <w:rsid w:val="00163284"/>
    <w:rsid w:val="00163A7C"/>
    <w:rsid w:val="00164509"/>
    <w:rsid w:val="001655B9"/>
    <w:rsid w:val="001665AB"/>
    <w:rsid w:val="0016728C"/>
    <w:rsid w:val="00167E2D"/>
    <w:rsid w:val="00167EC9"/>
    <w:rsid w:val="001702F5"/>
    <w:rsid w:val="001703A3"/>
    <w:rsid w:val="00170B76"/>
    <w:rsid w:val="00172460"/>
    <w:rsid w:val="0017266D"/>
    <w:rsid w:val="0017324A"/>
    <w:rsid w:val="0017377A"/>
    <w:rsid w:val="001742F6"/>
    <w:rsid w:val="001745FF"/>
    <w:rsid w:val="001748AC"/>
    <w:rsid w:val="0017497C"/>
    <w:rsid w:val="00174EF5"/>
    <w:rsid w:val="001765AB"/>
    <w:rsid w:val="00177023"/>
    <w:rsid w:val="001770E3"/>
    <w:rsid w:val="00177438"/>
    <w:rsid w:val="00181911"/>
    <w:rsid w:val="001820D2"/>
    <w:rsid w:val="00182509"/>
    <w:rsid w:val="001838FE"/>
    <w:rsid w:val="00183A3A"/>
    <w:rsid w:val="00184AD9"/>
    <w:rsid w:val="00184AF5"/>
    <w:rsid w:val="00185828"/>
    <w:rsid w:val="00185A94"/>
    <w:rsid w:val="00186126"/>
    <w:rsid w:val="0018665E"/>
    <w:rsid w:val="00186DF5"/>
    <w:rsid w:val="001875B3"/>
    <w:rsid w:val="0019010A"/>
    <w:rsid w:val="001902EE"/>
    <w:rsid w:val="0019058C"/>
    <w:rsid w:val="00192A38"/>
    <w:rsid w:val="0019303E"/>
    <w:rsid w:val="00193AA3"/>
    <w:rsid w:val="00193F84"/>
    <w:rsid w:val="0019554C"/>
    <w:rsid w:val="0019566E"/>
    <w:rsid w:val="00195BE1"/>
    <w:rsid w:val="00195FAC"/>
    <w:rsid w:val="001964AF"/>
    <w:rsid w:val="001964E7"/>
    <w:rsid w:val="0019670E"/>
    <w:rsid w:val="001A0707"/>
    <w:rsid w:val="001A14DF"/>
    <w:rsid w:val="001A2111"/>
    <w:rsid w:val="001A4E8F"/>
    <w:rsid w:val="001A51B7"/>
    <w:rsid w:val="001A57C2"/>
    <w:rsid w:val="001A7795"/>
    <w:rsid w:val="001A7B4C"/>
    <w:rsid w:val="001A7BFE"/>
    <w:rsid w:val="001B01C6"/>
    <w:rsid w:val="001B14E0"/>
    <w:rsid w:val="001B1E96"/>
    <w:rsid w:val="001B3348"/>
    <w:rsid w:val="001B4291"/>
    <w:rsid w:val="001B5076"/>
    <w:rsid w:val="001B5244"/>
    <w:rsid w:val="001B56B0"/>
    <w:rsid w:val="001B6558"/>
    <w:rsid w:val="001B6C7A"/>
    <w:rsid w:val="001B7843"/>
    <w:rsid w:val="001B7F42"/>
    <w:rsid w:val="001C0AC4"/>
    <w:rsid w:val="001C170B"/>
    <w:rsid w:val="001C20B6"/>
    <w:rsid w:val="001C3F12"/>
    <w:rsid w:val="001C3F14"/>
    <w:rsid w:val="001C3F6B"/>
    <w:rsid w:val="001C507C"/>
    <w:rsid w:val="001C7569"/>
    <w:rsid w:val="001C7754"/>
    <w:rsid w:val="001C78FA"/>
    <w:rsid w:val="001D07F0"/>
    <w:rsid w:val="001D0D3C"/>
    <w:rsid w:val="001D186B"/>
    <w:rsid w:val="001D1EB2"/>
    <w:rsid w:val="001D2A96"/>
    <w:rsid w:val="001D3142"/>
    <w:rsid w:val="001D46CF"/>
    <w:rsid w:val="001D4B9A"/>
    <w:rsid w:val="001D5309"/>
    <w:rsid w:val="001D5795"/>
    <w:rsid w:val="001D61A5"/>
    <w:rsid w:val="001D6222"/>
    <w:rsid w:val="001D638F"/>
    <w:rsid w:val="001D6765"/>
    <w:rsid w:val="001D6DE3"/>
    <w:rsid w:val="001D6E04"/>
    <w:rsid w:val="001E13F5"/>
    <w:rsid w:val="001E1D55"/>
    <w:rsid w:val="001E220C"/>
    <w:rsid w:val="001E3D01"/>
    <w:rsid w:val="001E5F42"/>
    <w:rsid w:val="001E64A5"/>
    <w:rsid w:val="001E6B99"/>
    <w:rsid w:val="001E72E5"/>
    <w:rsid w:val="001F1467"/>
    <w:rsid w:val="001F1694"/>
    <w:rsid w:val="001F16AE"/>
    <w:rsid w:val="001F1D43"/>
    <w:rsid w:val="001F2610"/>
    <w:rsid w:val="001F34D5"/>
    <w:rsid w:val="001F358D"/>
    <w:rsid w:val="001F466D"/>
    <w:rsid w:val="001F4DEE"/>
    <w:rsid w:val="001F517D"/>
    <w:rsid w:val="001F6156"/>
    <w:rsid w:val="001F635C"/>
    <w:rsid w:val="001F72DB"/>
    <w:rsid w:val="00201A73"/>
    <w:rsid w:val="00201F4E"/>
    <w:rsid w:val="00202420"/>
    <w:rsid w:val="0020349E"/>
    <w:rsid w:val="002034E3"/>
    <w:rsid w:val="00203681"/>
    <w:rsid w:val="00203EB0"/>
    <w:rsid w:val="00204064"/>
    <w:rsid w:val="002044CF"/>
    <w:rsid w:val="00204BAB"/>
    <w:rsid w:val="002057BF"/>
    <w:rsid w:val="00206EDA"/>
    <w:rsid w:val="00207F66"/>
    <w:rsid w:val="00210072"/>
    <w:rsid w:val="00210108"/>
    <w:rsid w:val="002108C1"/>
    <w:rsid w:val="00213737"/>
    <w:rsid w:val="00213A43"/>
    <w:rsid w:val="00214214"/>
    <w:rsid w:val="0021486E"/>
    <w:rsid w:val="0021542F"/>
    <w:rsid w:val="0021700A"/>
    <w:rsid w:val="00217736"/>
    <w:rsid w:val="002203F5"/>
    <w:rsid w:val="00220B3A"/>
    <w:rsid w:val="002238CD"/>
    <w:rsid w:val="00224912"/>
    <w:rsid w:val="00224A02"/>
    <w:rsid w:val="00225AD4"/>
    <w:rsid w:val="00225ED7"/>
    <w:rsid w:val="00227B1A"/>
    <w:rsid w:val="0023036A"/>
    <w:rsid w:val="002304ED"/>
    <w:rsid w:val="00230F76"/>
    <w:rsid w:val="00231953"/>
    <w:rsid w:val="002323C9"/>
    <w:rsid w:val="00232418"/>
    <w:rsid w:val="0023372A"/>
    <w:rsid w:val="00234BC9"/>
    <w:rsid w:val="00237012"/>
    <w:rsid w:val="0023725A"/>
    <w:rsid w:val="0024022F"/>
    <w:rsid w:val="0024032F"/>
    <w:rsid w:val="002406D4"/>
    <w:rsid w:val="00240A90"/>
    <w:rsid w:val="0024151B"/>
    <w:rsid w:val="00241910"/>
    <w:rsid w:val="00241A39"/>
    <w:rsid w:val="00241C90"/>
    <w:rsid w:val="00242A26"/>
    <w:rsid w:val="00243320"/>
    <w:rsid w:val="00244FA6"/>
    <w:rsid w:val="00245BDC"/>
    <w:rsid w:val="00245C24"/>
    <w:rsid w:val="00246E3C"/>
    <w:rsid w:val="00247379"/>
    <w:rsid w:val="00247879"/>
    <w:rsid w:val="00250329"/>
    <w:rsid w:val="002508D3"/>
    <w:rsid w:val="002511DA"/>
    <w:rsid w:val="0025120B"/>
    <w:rsid w:val="00251334"/>
    <w:rsid w:val="0025276A"/>
    <w:rsid w:val="00253B4C"/>
    <w:rsid w:val="002557D2"/>
    <w:rsid w:val="002567F6"/>
    <w:rsid w:val="00256976"/>
    <w:rsid w:val="00256EF8"/>
    <w:rsid w:val="002574B8"/>
    <w:rsid w:val="00260643"/>
    <w:rsid w:val="002610E8"/>
    <w:rsid w:val="002625F8"/>
    <w:rsid w:val="002629C0"/>
    <w:rsid w:val="002630CD"/>
    <w:rsid w:val="0026343B"/>
    <w:rsid w:val="00263475"/>
    <w:rsid w:val="00263FB2"/>
    <w:rsid w:val="002642D6"/>
    <w:rsid w:val="0026460E"/>
    <w:rsid w:val="0026460F"/>
    <w:rsid w:val="00264B46"/>
    <w:rsid w:val="00264E34"/>
    <w:rsid w:val="00264FD3"/>
    <w:rsid w:val="0026519F"/>
    <w:rsid w:val="002655B1"/>
    <w:rsid w:val="0026568D"/>
    <w:rsid w:val="0026582D"/>
    <w:rsid w:val="00266D65"/>
    <w:rsid w:val="002674FC"/>
    <w:rsid w:val="00267C26"/>
    <w:rsid w:val="00267CE1"/>
    <w:rsid w:val="00272FE7"/>
    <w:rsid w:val="00273807"/>
    <w:rsid w:val="002759E6"/>
    <w:rsid w:val="002774F2"/>
    <w:rsid w:val="00277A71"/>
    <w:rsid w:val="00277A7C"/>
    <w:rsid w:val="00280DAA"/>
    <w:rsid w:val="00280F02"/>
    <w:rsid w:val="00281521"/>
    <w:rsid w:val="0028165B"/>
    <w:rsid w:val="0028342A"/>
    <w:rsid w:val="00287D53"/>
    <w:rsid w:val="00290131"/>
    <w:rsid w:val="00290232"/>
    <w:rsid w:val="0029088E"/>
    <w:rsid w:val="0029120D"/>
    <w:rsid w:val="00291528"/>
    <w:rsid w:val="00292989"/>
    <w:rsid w:val="002929E4"/>
    <w:rsid w:val="0029448F"/>
    <w:rsid w:val="002953BA"/>
    <w:rsid w:val="002973FD"/>
    <w:rsid w:val="00297900"/>
    <w:rsid w:val="002A11B9"/>
    <w:rsid w:val="002A1226"/>
    <w:rsid w:val="002A156B"/>
    <w:rsid w:val="002A2121"/>
    <w:rsid w:val="002A221F"/>
    <w:rsid w:val="002A27C2"/>
    <w:rsid w:val="002A28DD"/>
    <w:rsid w:val="002A31EB"/>
    <w:rsid w:val="002A36AA"/>
    <w:rsid w:val="002A432D"/>
    <w:rsid w:val="002A46DC"/>
    <w:rsid w:val="002A537C"/>
    <w:rsid w:val="002A5646"/>
    <w:rsid w:val="002A5B21"/>
    <w:rsid w:val="002A6112"/>
    <w:rsid w:val="002A73E5"/>
    <w:rsid w:val="002A775D"/>
    <w:rsid w:val="002B0137"/>
    <w:rsid w:val="002B2759"/>
    <w:rsid w:val="002B37EB"/>
    <w:rsid w:val="002B405E"/>
    <w:rsid w:val="002B4B4F"/>
    <w:rsid w:val="002B4F8A"/>
    <w:rsid w:val="002B55A3"/>
    <w:rsid w:val="002B6197"/>
    <w:rsid w:val="002B6E98"/>
    <w:rsid w:val="002B766C"/>
    <w:rsid w:val="002B7DA4"/>
    <w:rsid w:val="002C0538"/>
    <w:rsid w:val="002C16D8"/>
    <w:rsid w:val="002C170D"/>
    <w:rsid w:val="002C1F75"/>
    <w:rsid w:val="002C27CB"/>
    <w:rsid w:val="002C465E"/>
    <w:rsid w:val="002C4831"/>
    <w:rsid w:val="002C5D8E"/>
    <w:rsid w:val="002C7464"/>
    <w:rsid w:val="002C7D4D"/>
    <w:rsid w:val="002D039C"/>
    <w:rsid w:val="002D0AED"/>
    <w:rsid w:val="002D0EE5"/>
    <w:rsid w:val="002D123F"/>
    <w:rsid w:val="002D24FF"/>
    <w:rsid w:val="002D32C5"/>
    <w:rsid w:val="002D3D9A"/>
    <w:rsid w:val="002D3DCF"/>
    <w:rsid w:val="002D4AAB"/>
    <w:rsid w:val="002D4FA1"/>
    <w:rsid w:val="002D5175"/>
    <w:rsid w:val="002D5706"/>
    <w:rsid w:val="002D64F0"/>
    <w:rsid w:val="002D6AE9"/>
    <w:rsid w:val="002D71CE"/>
    <w:rsid w:val="002D7415"/>
    <w:rsid w:val="002D7E99"/>
    <w:rsid w:val="002E0187"/>
    <w:rsid w:val="002E0917"/>
    <w:rsid w:val="002E0BAC"/>
    <w:rsid w:val="002E0D30"/>
    <w:rsid w:val="002E11B4"/>
    <w:rsid w:val="002E1B34"/>
    <w:rsid w:val="002E2BB0"/>
    <w:rsid w:val="002E396A"/>
    <w:rsid w:val="002E4D12"/>
    <w:rsid w:val="002E5DDE"/>
    <w:rsid w:val="002E6446"/>
    <w:rsid w:val="002E6A31"/>
    <w:rsid w:val="002E6B1F"/>
    <w:rsid w:val="002E6E72"/>
    <w:rsid w:val="002E72F4"/>
    <w:rsid w:val="002E76B3"/>
    <w:rsid w:val="002E7808"/>
    <w:rsid w:val="002E7FB0"/>
    <w:rsid w:val="002F0578"/>
    <w:rsid w:val="002F0D77"/>
    <w:rsid w:val="002F1659"/>
    <w:rsid w:val="002F354E"/>
    <w:rsid w:val="002F3654"/>
    <w:rsid w:val="002F3A00"/>
    <w:rsid w:val="002F419E"/>
    <w:rsid w:val="002F4C7F"/>
    <w:rsid w:val="002F57E4"/>
    <w:rsid w:val="002F61AE"/>
    <w:rsid w:val="002F68A1"/>
    <w:rsid w:val="002F7741"/>
    <w:rsid w:val="002F7B80"/>
    <w:rsid w:val="002F7E83"/>
    <w:rsid w:val="00300D52"/>
    <w:rsid w:val="003016F6"/>
    <w:rsid w:val="003017D8"/>
    <w:rsid w:val="003017F0"/>
    <w:rsid w:val="00301958"/>
    <w:rsid w:val="00302E96"/>
    <w:rsid w:val="003036FD"/>
    <w:rsid w:val="00303B8F"/>
    <w:rsid w:val="003045D9"/>
    <w:rsid w:val="00304E4E"/>
    <w:rsid w:val="00304FA6"/>
    <w:rsid w:val="00305686"/>
    <w:rsid w:val="00305B5A"/>
    <w:rsid w:val="003068A0"/>
    <w:rsid w:val="00313C9F"/>
    <w:rsid w:val="00314A90"/>
    <w:rsid w:val="00314C91"/>
    <w:rsid w:val="00317669"/>
    <w:rsid w:val="00317F41"/>
    <w:rsid w:val="00321C1B"/>
    <w:rsid w:val="00323BB3"/>
    <w:rsid w:val="00323C57"/>
    <w:rsid w:val="00323F5E"/>
    <w:rsid w:val="003251A6"/>
    <w:rsid w:val="00325DFB"/>
    <w:rsid w:val="00326695"/>
    <w:rsid w:val="00326724"/>
    <w:rsid w:val="00326CD4"/>
    <w:rsid w:val="003276EC"/>
    <w:rsid w:val="0032783F"/>
    <w:rsid w:val="00327A7D"/>
    <w:rsid w:val="00327AA9"/>
    <w:rsid w:val="00327EF8"/>
    <w:rsid w:val="00330AE8"/>
    <w:rsid w:val="003328C0"/>
    <w:rsid w:val="0033346D"/>
    <w:rsid w:val="00333606"/>
    <w:rsid w:val="00333C74"/>
    <w:rsid w:val="00333F95"/>
    <w:rsid w:val="00336FA4"/>
    <w:rsid w:val="003373C4"/>
    <w:rsid w:val="00340043"/>
    <w:rsid w:val="003405C5"/>
    <w:rsid w:val="00340B10"/>
    <w:rsid w:val="00340B9E"/>
    <w:rsid w:val="00341755"/>
    <w:rsid w:val="003418B5"/>
    <w:rsid w:val="00341D0F"/>
    <w:rsid w:val="003429F7"/>
    <w:rsid w:val="00343AF8"/>
    <w:rsid w:val="00344EEB"/>
    <w:rsid w:val="00345001"/>
    <w:rsid w:val="0034558C"/>
    <w:rsid w:val="0034621E"/>
    <w:rsid w:val="003470F7"/>
    <w:rsid w:val="00347E34"/>
    <w:rsid w:val="00350672"/>
    <w:rsid w:val="00350899"/>
    <w:rsid w:val="00351BC2"/>
    <w:rsid w:val="003522CC"/>
    <w:rsid w:val="003526B4"/>
    <w:rsid w:val="00352985"/>
    <w:rsid w:val="003535D6"/>
    <w:rsid w:val="003535E0"/>
    <w:rsid w:val="003549F2"/>
    <w:rsid w:val="00354BDD"/>
    <w:rsid w:val="0035616F"/>
    <w:rsid w:val="003563B1"/>
    <w:rsid w:val="00357154"/>
    <w:rsid w:val="00360F5B"/>
    <w:rsid w:val="00361E8D"/>
    <w:rsid w:val="00362FAE"/>
    <w:rsid w:val="00363883"/>
    <w:rsid w:val="003653F1"/>
    <w:rsid w:val="00365C15"/>
    <w:rsid w:val="00365F0A"/>
    <w:rsid w:val="0036618A"/>
    <w:rsid w:val="00367AEE"/>
    <w:rsid w:val="00367EC3"/>
    <w:rsid w:val="00370716"/>
    <w:rsid w:val="003717BE"/>
    <w:rsid w:val="00371CFC"/>
    <w:rsid w:val="00373C45"/>
    <w:rsid w:val="003741A5"/>
    <w:rsid w:val="00374DC8"/>
    <w:rsid w:val="00374EDA"/>
    <w:rsid w:val="003751D7"/>
    <w:rsid w:val="00375586"/>
    <w:rsid w:val="00376496"/>
    <w:rsid w:val="00376828"/>
    <w:rsid w:val="00376848"/>
    <w:rsid w:val="003777AF"/>
    <w:rsid w:val="00377F76"/>
    <w:rsid w:val="00380270"/>
    <w:rsid w:val="00380302"/>
    <w:rsid w:val="00381EDB"/>
    <w:rsid w:val="003821DE"/>
    <w:rsid w:val="003828B9"/>
    <w:rsid w:val="00382A56"/>
    <w:rsid w:val="0038377B"/>
    <w:rsid w:val="003838D5"/>
    <w:rsid w:val="003847D6"/>
    <w:rsid w:val="0038725A"/>
    <w:rsid w:val="0038781F"/>
    <w:rsid w:val="00387E64"/>
    <w:rsid w:val="00390CF5"/>
    <w:rsid w:val="003926C1"/>
    <w:rsid w:val="003926C9"/>
    <w:rsid w:val="00393134"/>
    <w:rsid w:val="00393422"/>
    <w:rsid w:val="00393BAC"/>
    <w:rsid w:val="0039416E"/>
    <w:rsid w:val="00394C24"/>
    <w:rsid w:val="00394C8F"/>
    <w:rsid w:val="00396451"/>
    <w:rsid w:val="00396F85"/>
    <w:rsid w:val="00397448"/>
    <w:rsid w:val="003A0212"/>
    <w:rsid w:val="003A19CB"/>
    <w:rsid w:val="003A23EC"/>
    <w:rsid w:val="003A2746"/>
    <w:rsid w:val="003A2952"/>
    <w:rsid w:val="003A3D3D"/>
    <w:rsid w:val="003A5070"/>
    <w:rsid w:val="003A56B0"/>
    <w:rsid w:val="003A58EF"/>
    <w:rsid w:val="003A7076"/>
    <w:rsid w:val="003B05BC"/>
    <w:rsid w:val="003B0CEC"/>
    <w:rsid w:val="003B156C"/>
    <w:rsid w:val="003B23CE"/>
    <w:rsid w:val="003B2D19"/>
    <w:rsid w:val="003B5901"/>
    <w:rsid w:val="003B60FA"/>
    <w:rsid w:val="003B64EA"/>
    <w:rsid w:val="003B7B4D"/>
    <w:rsid w:val="003C0ADC"/>
    <w:rsid w:val="003C290B"/>
    <w:rsid w:val="003C69F6"/>
    <w:rsid w:val="003C6BEE"/>
    <w:rsid w:val="003C7549"/>
    <w:rsid w:val="003D0866"/>
    <w:rsid w:val="003D1841"/>
    <w:rsid w:val="003D1E69"/>
    <w:rsid w:val="003D201B"/>
    <w:rsid w:val="003D3555"/>
    <w:rsid w:val="003D3C66"/>
    <w:rsid w:val="003D3C71"/>
    <w:rsid w:val="003D419D"/>
    <w:rsid w:val="003D4480"/>
    <w:rsid w:val="003D59CF"/>
    <w:rsid w:val="003E017B"/>
    <w:rsid w:val="003E154C"/>
    <w:rsid w:val="003E3316"/>
    <w:rsid w:val="003E36FF"/>
    <w:rsid w:val="003E3A6B"/>
    <w:rsid w:val="003E3FE6"/>
    <w:rsid w:val="003E4653"/>
    <w:rsid w:val="003E4C9C"/>
    <w:rsid w:val="003E5334"/>
    <w:rsid w:val="003E5B3D"/>
    <w:rsid w:val="003E5F84"/>
    <w:rsid w:val="003E6B15"/>
    <w:rsid w:val="003E6C59"/>
    <w:rsid w:val="003E6E66"/>
    <w:rsid w:val="003E71C6"/>
    <w:rsid w:val="003E75C3"/>
    <w:rsid w:val="003E7911"/>
    <w:rsid w:val="003E7EB7"/>
    <w:rsid w:val="003F1302"/>
    <w:rsid w:val="003F1DF8"/>
    <w:rsid w:val="003F2792"/>
    <w:rsid w:val="003F291E"/>
    <w:rsid w:val="003F3CDE"/>
    <w:rsid w:val="003F4CA5"/>
    <w:rsid w:val="003F5766"/>
    <w:rsid w:val="003F5F8E"/>
    <w:rsid w:val="003F6ABB"/>
    <w:rsid w:val="003F73A5"/>
    <w:rsid w:val="004016E9"/>
    <w:rsid w:val="00401799"/>
    <w:rsid w:val="00401EA0"/>
    <w:rsid w:val="00402145"/>
    <w:rsid w:val="0040233A"/>
    <w:rsid w:val="00402838"/>
    <w:rsid w:val="0040431B"/>
    <w:rsid w:val="004044FA"/>
    <w:rsid w:val="00404D80"/>
    <w:rsid w:val="00405393"/>
    <w:rsid w:val="00406A9D"/>
    <w:rsid w:val="00406CB3"/>
    <w:rsid w:val="00407107"/>
    <w:rsid w:val="00410143"/>
    <w:rsid w:val="004105DE"/>
    <w:rsid w:val="00410F2E"/>
    <w:rsid w:val="0041144F"/>
    <w:rsid w:val="00412477"/>
    <w:rsid w:val="0041654F"/>
    <w:rsid w:val="0041717C"/>
    <w:rsid w:val="004214C7"/>
    <w:rsid w:val="00421885"/>
    <w:rsid w:val="004220FE"/>
    <w:rsid w:val="0042410A"/>
    <w:rsid w:val="004260D0"/>
    <w:rsid w:val="00430320"/>
    <w:rsid w:val="004307C8"/>
    <w:rsid w:val="00431D96"/>
    <w:rsid w:val="00431E81"/>
    <w:rsid w:val="004330EC"/>
    <w:rsid w:val="004332C6"/>
    <w:rsid w:val="00434253"/>
    <w:rsid w:val="004368B8"/>
    <w:rsid w:val="004368C0"/>
    <w:rsid w:val="00437BCE"/>
    <w:rsid w:val="0044040E"/>
    <w:rsid w:val="00442837"/>
    <w:rsid w:val="00442CC6"/>
    <w:rsid w:val="00442D73"/>
    <w:rsid w:val="00443251"/>
    <w:rsid w:val="00443A18"/>
    <w:rsid w:val="00443F68"/>
    <w:rsid w:val="00444153"/>
    <w:rsid w:val="00444FFC"/>
    <w:rsid w:val="00445426"/>
    <w:rsid w:val="0044560A"/>
    <w:rsid w:val="00446D75"/>
    <w:rsid w:val="00447864"/>
    <w:rsid w:val="00451F81"/>
    <w:rsid w:val="004539C0"/>
    <w:rsid w:val="00454344"/>
    <w:rsid w:val="00454549"/>
    <w:rsid w:val="00455070"/>
    <w:rsid w:val="004555B3"/>
    <w:rsid w:val="004558F1"/>
    <w:rsid w:val="004575AE"/>
    <w:rsid w:val="004601C9"/>
    <w:rsid w:val="0046230E"/>
    <w:rsid w:val="0046252B"/>
    <w:rsid w:val="00462E98"/>
    <w:rsid w:val="00462FB0"/>
    <w:rsid w:val="004649C4"/>
    <w:rsid w:val="00464DBB"/>
    <w:rsid w:val="00465A2D"/>
    <w:rsid w:val="00465D0B"/>
    <w:rsid w:val="0046686D"/>
    <w:rsid w:val="004707AA"/>
    <w:rsid w:val="00470E6C"/>
    <w:rsid w:val="004717E4"/>
    <w:rsid w:val="00471BE5"/>
    <w:rsid w:val="00472F1D"/>
    <w:rsid w:val="00473F45"/>
    <w:rsid w:val="00474A50"/>
    <w:rsid w:val="00475BAC"/>
    <w:rsid w:val="00477808"/>
    <w:rsid w:val="00477956"/>
    <w:rsid w:val="00477C17"/>
    <w:rsid w:val="00480125"/>
    <w:rsid w:val="0048064D"/>
    <w:rsid w:val="00481CF4"/>
    <w:rsid w:val="00482AC2"/>
    <w:rsid w:val="00484BE4"/>
    <w:rsid w:val="00485409"/>
    <w:rsid w:val="004855F7"/>
    <w:rsid w:val="004859EA"/>
    <w:rsid w:val="00485ECB"/>
    <w:rsid w:val="00485EE2"/>
    <w:rsid w:val="00486224"/>
    <w:rsid w:val="004869F6"/>
    <w:rsid w:val="00486B1D"/>
    <w:rsid w:val="00487133"/>
    <w:rsid w:val="004875BB"/>
    <w:rsid w:val="00487660"/>
    <w:rsid w:val="00487D91"/>
    <w:rsid w:val="00487EF2"/>
    <w:rsid w:val="00490621"/>
    <w:rsid w:val="00490BE1"/>
    <w:rsid w:val="00490C75"/>
    <w:rsid w:val="004940E5"/>
    <w:rsid w:val="00495CB3"/>
    <w:rsid w:val="00496580"/>
    <w:rsid w:val="0049714F"/>
    <w:rsid w:val="00497832"/>
    <w:rsid w:val="004A0A36"/>
    <w:rsid w:val="004A0D52"/>
    <w:rsid w:val="004A12A1"/>
    <w:rsid w:val="004A2483"/>
    <w:rsid w:val="004A31AA"/>
    <w:rsid w:val="004A35F5"/>
    <w:rsid w:val="004B003C"/>
    <w:rsid w:val="004B189D"/>
    <w:rsid w:val="004B2308"/>
    <w:rsid w:val="004B358B"/>
    <w:rsid w:val="004B3660"/>
    <w:rsid w:val="004B3D1C"/>
    <w:rsid w:val="004B49D4"/>
    <w:rsid w:val="004B5ADC"/>
    <w:rsid w:val="004B72E4"/>
    <w:rsid w:val="004B7608"/>
    <w:rsid w:val="004B7615"/>
    <w:rsid w:val="004B7CC5"/>
    <w:rsid w:val="004B7E0F"/>
    <w:rsid w:val="004C332F"/>
    <w:rsid w:val="004C37CF"/>
    <w:rsid w:val="004C3EEB"/>
    <w:rsid w:val="004C4941"/>
    <w:rsid w:val="004C5199"/>
    <w:rsid w:val="004C5A46"/>
    <w:rsid w:val="004C6290"/>
    <w:rsid w:val="004C6799"/>
    <w:rsid w:val="004C6D77"/>
    <w:rsid w:val="004D0458"/>
    <w:rsid w:val="004D0ADB"/>
    <w:rsid w:val="004D0BAA"/>
    <w:rsid w:val="004D1B87"/>
    <w:rsid w:val="004D3D50"/>
    <w:rsid w:val="004D3F25"/>
    <w:rsid w:val="004D5EDE"/>
    <w:rsid w:val="004E09A2"/>
    <w:rsid w:val="004E0ADF"/>
    <w:rsid w:val="004E0EC2"/>
    <w:rsid w:val="004E185D"/>
    <w:rsid w:val="004E198B"/>
    <w:rsid w:val="004E1A9A"/>
    <w:rsid w:val="004E2F92"/>
    <w:rsid w:val="004E363C"/>
    <w:rsid w:val="004E4671"/>
    <w:rsid w:val="004E511E"/>
    <w:rsid w:val="004E5615"/>
    <w:rsid w:val="004E594D"/>
    <w:rsid w:val="004E5C26"/>
    <w:rsid w:val="004E5C64"/>
    <w:rsid w:val="004E7CDB"/>
    <w:rsid w:val="004F0376"/>
    <w:rsid w:val="004F0CDF"/>
    <w:rsid w:val="004F0FE2"/>
    <w:rsid w:val="004F3153"/>
    <w:rsid w:val="004F3C8A"/>
    <w:rsid w:val="004F420A"/>
    <w:rsid w:val="004F46A5"/>
    <w:rsid w:val="004F5294"/>
    <w:rsid w:val="004F5E50"/>
    <w:rsid w:val="005001F5"/>
    <w:rsid w:val="0050111B"/>
    <w:rsid w:val="00502C8A"/>
    <w:rsid w:val="00503728"/>
    <w:rsid w:val="005047CE"/>
    <w:rsid w:val="00505500"/>
    <w:rsid w:val="00505AC7"/>
    <w:rsid w:val="005061DE"/>
    <w:rsid w:val="0050782F"/>
    <w:rsid w:val="00510353"/>
    <w:rsid w:val="005109F7"/>
    <w:rsid w:val="00510A09"/>
    <w:rsid w:val="00511165"/>
    <w:rsid w:val="005116BA"/>
    <w:rsid w:val="00513B6A"/>
    <w:rsid w:val="0051446B"/>
    <w:rsid w:val="00515399"/>
    <w:rsid w:val="00515B9C"/>
    <w:rsid w:val="00516114"/>
    <w:rsid w:val="00516A92"/>
    <w:rsid w:val="005175F9"/>
    <w:rsid w:val="0052011E"/>
    <w:rsid w:val="00521296"/>
    <w:rsid w:val="0052232A"/>
    <w:rsid w:val="00522541"/>
    <w:rsid w:val="0052292E"/>
    <w:rsid w:val="00523930"/>
    <w:rsid w:val="00524276"/>
    <w:rsid w:val="005243FD"/>
    <w:rsid w:val="005250D8"/>
    <w:rsid w:val="005250E0"/>
    <w:rsid w:val="00525373"/>
    <w:rsid w:val="005263BF"/>
    <w:rsid w:val="005279E2"/>
    <w:rsid w:val="00530D01"/>
    <w:rsid w:val="00533196"/>
    <w:rsid w:val="005347D0"/>
    <w:rsid w:val="005365CA"/>
    <w:rsid w:val="00536991"/>
    <w:rsid w:val="00536EFE"/>
    <w:rsid w:val="00537500"/>
    <w:rsid w:val="00540316"/>
    <w:rsid w:val="0054065A"/>
    <w:rsid w:val="00540EB0"/>
    <w:rsid w:val="00541004"/>
    <w:rsid w:val="00541053"/>
    <w:rsid w:val="00542949"/>
    <w:rsid w:val="00542CF0"/>
    <w:rsid w:val="005467BF"/>
    <w:rsid w:val="00546EEA"/>
    <w:rsid w:val="00547737"/>
    <w:rsid w:val="005501FD"/>
    <w:rsid w:val="005505B1"/>
    <w:rsid w:val="00551BF3"/>
    <w:rsid w:val="00553F39"/>
    <w:rsid w:val="00556151"/>
    <w:rsid w:val="005562CB"/>
    <w:rsid w:val="005563D1"/>
    <w:rsid w:val="00556B11"/>
    <w:rsid w:val="00556D35"/>
    <w:rsid w:val="00560142"/>
    <w:rsid w:val="00560B23"/>
    <w:rsid w:val="00561773"/>
    <w:rsid w:val="00561D4F"/>
    <w:rsid w:val="00561DC2"/>
    <w:rsid w:val="00562684"/>
    <w:rsid w:val="00562E39"/>
    <w:rsid w:val="005632A3"/>
    <w:rsid w:val="005632D7"/>
    <w:rsid w:val="0056489B"/>
    <w:rsid w:val="00564BF9"/>
    <w:rsid w:val="00565B7B"/>
    <w:rsid w:val="00566B4E"/>
    <w:rsid w:val="00566BF8"/>
    <w:rsid w:val="00566EE0"/>
    <w:rsid w:val="005677B2"/>
    <w:rsid w:val="00567D88"/>
    <w:rsid w:val="0057069C"/>
    <w:rsid w:val="00571C4D"/>
    <w:rsid w:val="005735AC"/>
    <w:rsid w:val="00575A5E"/>
    <w:rsid w:val="00575EC7"/>
    <w:rsid w:val="00576784"/>
    <w:rsid w:val="0057779B"/>
    <w:rsid w:val="00580806"/>
    <w:rsid w:val="005808D7"/>
    <w:rsid w:val="00580BF7"/>
    <w:rsid w:val="00581F8C"/>
    <w:rsid w:val="005823DC"/>
    <w:rsid w:val="0058255D"/>
    <w:rsid w:val="00582F70"/>
    <w:rsid w:val="00584C1C"/>
    <w:rsid w:val="00585198"/>
    <w:rsid w:val="00586426"/>
    <w:rsid w:val="00586A2A"/>
    <w:rsid w:val="00590CF2"/>
    <w:rsid w:val="00591CAE"/>
    <w:rsid w:val="00592A42"/>
    <w:rsid w:val="005937F3"/>
    <w:rsid w:val="0059392D"/>
    <w:rsid w:val="005950E1"/>
    <w:rsid w:val="0059579B"/>
    <w:rsid w:val="00597865"/>
    <w:rsid w:val="005A0E0A"/>
    <w:rsid w:val="005A2016"/>
    <w:rsid w:val="005A2EA2"/>
    <w:rsid w:val="005A3504"/>
    <w:rsid w:val="005A559E"/>
    <w:rsid w:val="005A60E5"/>
    <w:rsid w:val="005A6C6C"/>
    <w:rsid w:val="005A74D4"/>
    <w:rsid w:val="005A78C1"/>
    <w:rsid w:val="005A7F48"/>
    <w:rsid w:val="005B09CF"/>
    <w:rsid w:val="005B1402"/>
    <w:rsid w:val="005B1C57"/>
    <w:rsid w:val="005B3D9B"/>
    <w:rsid w:val="005B55B2"/>
    <w:rsid w:val="005B71E3"/>
    <w:rsid w:val="005C31E4"/>
    <w:rsid w:val="005C32F2"/>
    <w:rsid w:val="005C35F6"/>
    <w:rsid w:val="005C3EBE"/>
    <w:rsid w:val="005C564A"/>
    <w:rsid w:val="005C564E"/>
    <w:rsid w:val="005C5B8F"/>
    <w:rsid w:val="005C5CFE"/>
    <w:rsid w:val="005C5D43"/>
    <w:rsid w:val="005C6048"/>
    <w:rsid w:val="005C61E3"/>
    <w:rsid w:val="005C740A"/>
    <w:rsid w:val="005C74D0"/>
    <w:rsid w:val="005C7BD5"/>
    <w:rsid w:val="005C7E74"/>
    <w:rsid w:val="005D223D"/>
    <w:rsid w:val="005D2428"/>
    <w:rsid w:val="005D2AD8"/>
    <w:rsid w:val="005D3696"/>
    <w:rsid w:val="005D3AF2"/>
    <w:rsid w:val="005D6053"/>
    <w:rsid w:val="005D7816"/>
    <w:rsid w:val="005D798C"/>
    <w:rsid w:val="005E2119"/>
    <w:rsid w:val="005E38BB"/>
    <w:rsid w:val="005E49A3"/>
    <w:rsid w:val="005E6BFC"/>
    <w:rsid w:val="005E6D29"/>
    <w:rsid w:val="005E6E97"/>
    <w:rsid w:val="005E7E46"/>
    <w:rsid w:val="005F0A73"/>
    <w:rsid w:val="005F1DDE"/>
    <w:rsid w:val="005F33F4"/>
    <w:rsid w:val="005F347B"/>
    <w:rsid w:val="005F363A"/>
    <w:rsid w:val="005F37A7"/>
    <w:rsid w:val="005F3A1F"/>
    <w:rsid w:val="005F4FAA"/>
    <w:rsid w:val="005F5C7F"/>
    <w:rsid w:val="006015AD"/>
    <w:rsid w:val="006023B5"/>
    <w:rsid w:val="0060456C"/>
    <w:rsid w:val="006046E5"/>
    <w:rsid w:val="006048EE"/>
    <w:rsid w:val="00607499"/>
    <w:rsid w:val="00607679"/>
    <w:rsid w:val="00612F49"/>
    <w:rsid w:val="0061417D"/>
    <w:rsid w:val="0061547A"/>
    <w:rsid w:val="00616D1C"/>
    <w:rsid w:val="00616FD4"/>
    <w:rsid w:val="00621416"/>
    <w:rsid w:val="0062198B"/>
    <w:rsid w:val="0062417D"/>
    <w:rsid w:val="00625AFB"/>
    <w:rsid w:val="00626796"/>
    <w:rsid w:val="0062722E"/>
    <w:rsid w:val="00627F04"/>
    <w:rsid w:val="00633086"/>
    <w:rsid w:val="00635E25"/>
    <w:rsid w:val="00635FBA"/>
    <w:rsid w:val="0063671A"/>
    <w:rsid w:val="00640FDD"/>
    <w:rsid w:val="006416E6"/>
    <w:rsid w:val="00641F10"/>
    <w:rsid w:val="006426A8"/>
    <w:rsid w:val="00643D3F"/>
    <w:rsid w:val="00643F93"/>
    <w:rsid w:val="0064478C"/>
    <w:rsid w:val="00646AAA"/>
    <w:rsid w:val="00647082"/>
    <w:rsid w:val="00650160"/>
    <w:rsid w:val="0065076A"/>
    <w:rsid w:val="00652D87"/>
    <w:rsid w:val="00653456"/>
    <w:rsid w:val="00653742"/>
    <w:rsid w:val="00653774"/>
    <w:rsid w:val="0065575F"/>
    <w:rsid w:val="006568A2"/>
    <w:rsid w:val="006568D7"/>
    <w:rsid w:val="00656CAE"/>
    <w:rsid w:val="00657F6A"/>
    <w:rsid w:val="006604BC"/>
    <w:rsid w:val="00660F80"/>
    <w:rsid w:val="00663999"/>
    <w:rsid w:val="00663BF8"/>
    <w:rsid w:val="00666A34"/>
    <w:rsid w:val="00666A7B"/>
    <w:rsid w:val="00666B4C"/>
    <w:rsid w:val="0066708D"/>
    <w:rsid w:val="0066722F"/>
    <w:rsid w:val="00667558"/>
    <w:rsid w:val="0066792B"/>
    <w:rsid w:val="0066798C"/>
    <w:rsid w:val="00667B2A"/>
    <w:rsid w:val="00670779"/>
    <w:rsid w:val="006709C6"/>
    <w:rsid w:val="00671B3A"/>
    <w:rsid w:val="00671C19"/>
    <w:rsid w:val="00672FE7"/>
    <w:rsid w:val="00673107"/>
    <w:rsid w:val="0068012A"/>
    <w:rsid w:val="00680D84"/>
    <w:rsid w:val="00680E1B"/>
    <w:rsid w:val="00681790"/>
    <w:rsid w:val="0068304D"/>
    <w:rsid w:val="00683C15"/>
    <w:rsid w:val="00683E0C"/>
    <w:rsid w:val="00685117"/>
    <w:rsid w:val="00685CB8"/>
    <w:rsid w:val="0068646F"/>
    <w:rsid w:val="0068671D"/>
    <w:rsid w:val="006873E2"/>
    <w:rsid w:val="0068768A"/>
    <w:rsid w:val="00687B70"/>
    <w:rsid w:val="00690582"/>
    <w:rsid w:val="00690848"/>
    <w:rsid w:val="00690E7F"/>
    <w:rsid w:val="006913DB"/>
    <w:rsid w:val="00691F22"/>
    <w:rsid w:val="0069212E"/>
    <w:rsid w:val="00692831"/>
    <w:rsid w:val="00693A34"/>
    <w:rsid w:val="00693B3A"/>
    <w:rsid w:val="00693B58"/>
    <w:rsid w:val="00694A80"/>
    <w:rsid w:val="00695B21"/>
    <w:rsid w:val="00696431"/>
    <w:rsid w:val="00696F86"/>
    <w:rsid w:val="006A3983"/>
    <w:rsid w:val="006A4770"/>
    <w:rsid w:val="006A4FB4"/>
    <w:rsid w:val="006A534B"/>
    <w:rsid w:val="006A68F1"/>
    <w:rsid w:val="006A6A75"/>
    <w:rsid w:val="006A6C5C"/>
    <w:rsid w:val="006A7302"/>
    <w:rsid w:val="006B00DC"/>
    <w:rsid w:val="006B098C"/>
    <w:rsid w:val="006B0FFF"/>
    <w:rsid w:val="006B16FF"/>
    <w:rsid w:val="006B1B1D"/>
    <w:rsid w:val="006B285C"/>
    <w:rsid w:val="006B2902"/>
    <w:rsid w:val="006B2E88"/>
    <w:rsid w:val="006B4295"/>
    <w:rsid w:val="006B45EE"/>
    <w:rsid w:val="006B4814"/>
    <w:rsid w:val="006B66CC"/>
    <w:rsid w:val="006B7B03"/>
    <w:rsid w:val="006B7D34"/>
    <w:rsid w:val="006C1F55"/>
    <w:rsid w:val="006C2854"/>
    <w:rsid w:val="006C2923"/>
    <w:rsid w:val="006C3311"/>
    <w:rsid w:val="006C3F4E"/>
    <w:rsid w:val="006C46C9"/>
    <w:rsid w:val="006C4D46"/>
    <w:rsid w:val="006C5FB9"/>
    <w:rsid w:val="006C6CDD"/>
    <w:rsid w:val="006C6F6B"/>
    <w:rsid w:val="006C793F"/>
    <w:rsid w:val="006D0A6E"/>
    <w:rsid w:val="006D39A0"/>
    <w:rsid w:val="006D3F37"/>
    <w:rsid w:val="006D5119"/>
    <w:rsid w:val="006D6FAE"/>
    <w:rsid w:val="006D7703"/>
    <w:rsid w:val="006D77B1"/>
    <w:rsid w:val="006E008F"/>
    <w:rsid w:val="006E01D7"/>
    <w:rsid w:val="006E1D37"/>
    <w:rsid w:val="006E3CC9"/>
    <w:rsid w:val="006E5648"/>
    <w:rsid w:val="006E6446"/>
    <w:rsid w:val="006E70D0"/>
    <w:rsid w:val="006E7DC1"/>
    <w:rsid w:val="006F0AFA"/>
    <w:rsid w:val="006F0E2C"/>
    <w:rsid w:val="006F1F80"/>
    <w:rsid w:val="006F27A5"/>
    <w:rsid w:val="006F33F2"/>
    <w:rsid w:val="006F39DF"/>
    <w:rsid w:val="006F58FF"/>
    <w:rsid w:val="006F59B6"/>
    <w:rsid w:val="006F7B38"/>
    <w:rsid w:val="00700097"/>
    <w:rsid w:val="00700883"/>
    <w:rsid w:val="00700BD8"/>
    <w:rsid w:val="007020A2"/>
    <w:rsid w:val="00702D60"/>
    <w:rsid w:val="00702F14"/>
    <w:rsid w:val="0070302C"/>
    <w:rsid w:val="007037B5"/>
    <w:rsid w:val="00703865"/>
    <w:rsid w:val="00704125"/>
    <w:rsid w:val="0070429A"/>
    <w:rsid w:val="00704BAD"/>
    <w:rsid w:val="00705055"/>
    <w:rsid w:val="00706023"/>
    <w:rsid w:val="00706370"/>
    <w:rsid w:val="00706C55"/>
    <w:rsid w:val="00707165"/>
    <w:rsid w:val="00707232"/>
    <w:rsid w:val="0071105F"/>
    <w:rsid w:val="00711215"/>
    <w:rsid w:val="0071139A"/>
    <w:rsid w:val="0071149B"/>
    <w:rsid w:val="007121B2"/>
    <w:rsid w:val="00713D30"/>
    <w:rsid w:val="00714BC8"/>
    <w:rsid w:val="0071583B"/>
    <w:rsid w:val="0071661C"/>
    <w:rsid w:val="007168E1"/>
    <w:rsid w:val="00720101"/>
    <w:rsid w:val="0072078A"/>
    <w:rsid w:val="007213D7"/>
    <w:rsid w:val="007216E2"/>
    <w:rsid w:val="0072221F"/>
    <w:rsid w:val="00722441"/>
    <w:rsid w:val="0072334E"/>
    <w:rsid w:val="0072356B"/>
    <w:rsid w:val="00723ACC"/>
    <w:rsid w:val="00725A2F"/>
    <w:rsid w:val="0072665F"/>
    <w:rsid w:val="00727D3F"/>
    <w:rsid w:val="0073070A"/>
    <w:rsid w:val="007308AF"/>
    <w:rsid w:val="00730D50"/>
    <w:rsid w:val="007311C8"/>
    <w:rsid w:val="00731352"/>
    <w:rsid w:val="007314A8"/>
    <w:rsid w:val="00732C6E"/>
    <w:rsid w:val="00734E48"/>
    <w:rsid w:val="0073573A"/>
    <w:rsid w:val="00735C9B"/>
    <w:rsid w:val="00737311"/>
    <w:rsid w:val="00740E4C"/>
    <w:rsid w:val="00741048"/>
    <w:rsid w:val="007410B2"/>
    <w:rsid w:val="00741D87"/>
    <w:rsid w:val="00742DD5"/>
    <w:rsid w:val="00743236"/>
    <w:rsid w:val="00744BAA"/>
    <w:rsid w:val="00745800"/>
    <w:rsid w:val="00745C5D"/>
    <w:rsid w:val="00746365"/>
    <w:rsid w:val="0074797A"/>
    <w:rsid w:val="00751F41"/>
    <w:rsid w:val="007520D1"/>
    <w:rsid w:val="00752E8D"/>
    <w:rsid w:val="0075467C"/>
    <w:rsid w:val="00756049"/>
    <w:rsid w:val="007565ED"/>
    <w:rsid w:val="007576AE"/>
    <w:rsid w:val="00757B96"/>
    <w:rsid w:val="00760359"/>
    <w:rsid w:val="0076249B"/>
    <w:rsid w:val="00762780"/>
    <w:rsid w:val="00762E44"/>
    <w:rsid w:val="00763193"/>
    <w:rsid w:val="00763252"/>
    <w:rsid w:val="0076338C"/>
    <w:rsid w:val="00763910"/>
    <w:rsid w:val="00764E9B"/>
    <w:rsid w:val="00765611"/>
    <w:rsid w:val="00771A5E"/>
    <w:rsid w:val="00771A8A"/>
    <w:rsid w:val="00771BB5"/>
    <w:rsid w:val="00771E3B"/>
    <w:rsid w:val="00772293"/>
    <w:rsid w:val="00773465"/>
    <w:rsid w:val="00773862"/>
    <w:rsid w:val="0077434F"/>
    <w:rsid w:val="007759C2"/>
    <w:rsid w:val="00776194"/>
    <w:rsid w:val="007762E8"/>
    <w:rsid w:val="00777477"/>
    <w:rsid w:val="00777947"/>
    <w:rsid w:val="00777B07"/>
    <w:rsid w:val="00777B1C"/>
    <w:rsid w:val="007806BC"/>
    <w:rsid w:val="007809CB"/>
    <w:rsid w:val="00781491"/>
    <w:rsid w:val="00782FF0"/>
    <w:rsid w:val="00783D95"/>
    <w:rsid w:val="00783F1A"/>
    <w:rsid w:val="0078439F"/>
    <w:rsid w:val="0078524A"/>
    <w:rsid w:val="00785605"/>
    <w:rsid w:val="00787EB1"/>
    <w:rsid w:val="007906DC"/>
    <w:rsid w:val="00790D0F"/>
    <w:rsid w:val="0079107F"/>
    <w:rsid w:val="00792AEC"/>
    <w:rsid w:val="007963DB"/>
    <w:rsid w:val="00796F1B"/>
    <w:rsid w:val="00797A4E"/>
    <w:rsid w:val="00797C4E"/>
    <w:rsid w:val="007A0307"/>
    <w:rsid w:val="007A043A"/>
    <w:rsid w:val="007A142B"/>
    <w:rsid w:val="007A1CBE"/>
    <w:rsid w:val="007A3148"/>
    <w:rsid w:val="007A4620"/>
    <w:rsid w:val="007A50C4"/>
    <w:rsid w:val="007A5430"/>
    <w:rsid w:val="007A6E0B"/>
    <w:rsid w:val="007A70B4"/>
    <w:rsid w:val="007B048E"/>
    <w:rsid w:val="007B077E"/>
    <w:rsid w:val="007B1A3D"/>
    <w:rsid w:val="007B20B8"/>
    <w:rsid w:val="007B2345"/>
    <w:rsid w:val="007B297F"/>
    <w:rsid w:val="007B2B65"/>
    <w:rsid w:val="007B3B7D"/>
    <w:rsid w:val="007B4062"/>
    <w:rsid w:val="007B461D"/>
    <w:rsid w:val="007B5ADC"/>
    <w:rsid w:val="007B5DEF"/>
    <w:rsid w:val="007B5F91"/>
    <w:rsid w:val="007B62C7"/>
    <w:rsid w:val="007B6697"/>
    <w:rsid w:val="007B7E0C"/>
    <w:rsid w:val="007C01D6"/>
    <w:rsid w:val="007C12D4"/>
    <w:rsid w:val="007C16EA"/>
    <w:rsid w:val="007C1789"/>
    <w:rsid w:val="007C1A23"/>
    <w:rsid w:val="007C228C"/>
    <w:rsid w:val="007C29A3"/>
    <w:rsid w:val="007C2CA3"/>
    <w:rsid w:val="007C3230"/>
    <w:rsid w:val="007C3527"/>
    <w:rsid w:val="007C57CB"/>
    <w:rsid w:val="007C5BAD"/>
    <w:rsid w:val="007C5DDE"/>
    <w:rsid w:val="007C60DB"/>
    <w:rsid w:val="007C6147"/>
    <w:rsid w:val="007C6AD5"/>
    <w:rsid w:val="007C6C85"/>
    <w:rsid w:val="007C72FF"/>
    <w:rsid w:val="007C7827"/>
    <w:rsid w:val="007C795E"/>
    <w:rsid w:val="007C7DAB"/>
    <w:rsid w:val="007D23CA"/>
    <w:rsid w:val="007D28A8"/>
    <w:rsid w:val="007D34F2"/>
    <w:rsid w:val="007D3E13"/>
    <w:rsid w:val="007D42C2"/>
    <w:rsid w:val="007D4A85"/>
    <w:rsid w:val="007D4C90"/>
    <w:rsid w:val="007D602B"/>
    <w:rsid w:val="007D64DA"/>
    <w:rsid w:val="007D6B19"/>
    <w:rsid w:val="007D6D9A"/>
    <w:rsid w:val="007D7074"/>
    <w:rsid w:val="007E0F13"/>
    <w:rsid w:val="007E1294"/>
    <w:rsid w:val="007E19D6"/>
    <w:rsid w:val="007E3986"/>
    <w:rsid w:val="007E4615"/>
    <w:rsid w:val="007E5A5F"/>
    <w:rsid w:val="007E66A2"/>
    <w:rsid w:val="007E6B04"/>
    <w:rsid w:val="007E6F3C"/>
    <w:rsid w:val="007E7FE8"/>
    <w:rsid w:val="007F08EE"/>
    <w:rsid w:val="007F190C"/>
    <w:rsid w:val="007F1947"/>
    <w:rsid w:val="007F19E9"/>
    <w:rsid w:val="007F32E7"/>
    <w:rsid w:val="007F33D5"/>
    <w:rsid w:val="007F4046"/>
    <w:rsid w:val="007F7FE6"/>
    <w:rsid w:val="00801100"/>
    <w:rsid w:val="00801F47"/>
    <w:rsid w:val="00803287"/>
    <w:rsid w:val="00803ED3"/>
    <w:rsid w:val="0080407B"/>
    <w:rsid w:val="00804162"/>
    <w:rsid w:val="00804195"/>
    <w:rsid w:val="00804416"/>
    <w:rsid w:val="00804471"/>
    <w:rsid w:val="00804B9D"/>
    <w:rsid w:val="00805157"/>
    <w:rsid w:val="008053CE"/>
    <w:rsid w:val="00805BAE"/>
    <w:rsid w:val="00806F20"/>
    <w:rsid w:val="0080771F"/>
    <w:rsid w:val="00810010"/>
    <w:rsid w:val="00810595"/>
    <w:rsid w:val="008108D3"/>
    <w:rsid w:val="00810D6B"/>
    <w:rsid w:val="00811840"/>
    <w:rsid w:val="00811995"/>
    <w:rsid w:val="00811B41"/>
    <w:rsid w:val="00812A0B"/>
    <w:rsid w:val="0081389D"/>
    <w:rsid w:val="0081484F"/>
    <w:rsid w:val="008148FE"/>
    <w:rsid w:val="00814D78"/>
    <w:rsid w:val="00816A3D"/>
    <w:rsid w:val="0081734C"/>
    <w:rsid w:val="00817506"/>
    <w:rsid w:val="0082029A"/>
    <w:rsid w:val="00820BB0"/>
    <w:rsid w:val="008212A9"/>
    <w:rsid w:val="00821573"/>
    <w:rsid w:val="00821FB3"/>
    <w:rsid w:val="00822D58"/>
    <w:rsid w:val="0082317E"/>
    <w:rsid w:val="00823C06"/>
    <w:rsid w:val="008252BC"/>
    <w:rsid w:val="0082546F"/>
    <w:rsid w:val="00825AB3"/>
    <w:rsid w:val="00827110"/>
    <w:rsid w:val="008275B9"/>
    <w:rsid w:val="008318FD"/>
    <w:rsid w:val="00831B6F"/>
    <w:rsid w:val="00831D42"/>
    <w:rsid w:val="00832700"/>
    <w:rsid w:val="00832C60"/>
    <w:rsid w:val="008343B3"/>
    <w:rsid w:val="00834B17"/>
    <w:rsid w:val="00837CF4"/>
    <w:rsid w:val="008407F4"/>
    <w:rsid w:val="00840D37"/>
    <w:rsid w:val="00843A65"/>
    <w:rsid w:val="00843C5A"/>
    <w:rsid w:val="00844799"/>
    <w:rsid w:val="00844C84"/>
    <w:rsid w:val="00845A20"/>
    <w:rsid w:val="008463D7"/>
    <w:rsid w:val="0084685A"/>
    <w:rsid w:val="00846F6D"/>
    <w:rsid w:val="00847B5F"/>
    <w:rsid w:val="00851C87"/>
    <w:rsid w:val="00851E6F"/>
    <w:rsid w:val="00851F04"/>
    <w:rsid w:val="00852A6E"/>
    <w:rsid w:val="008533C4"/>
    <w:rsid w:val="00854319"/>
    <w:rsid w:val="008546C2"/>
    <w:rsid w:val="0085532D"/>
    <w:rsid w:val="008554F5"/>
    <w:rsid w:val="00855936"/>
    <w:rsid w:val="008573EF"/>
    <w:rsid w:val="00857571"/>
    <w:rsid w:val="0086108F"/>
    <w:rsid w:val="0086125B"/>
    <w:rsid w:val="0086208A"/>
    <w:rsid w:val="00863197"/>
    <w:rsid w:val="00863727"/>
    <w:rsid w:val="00863975"/>
    <w:rsid w:val="00863B00"/>
    <w:rsid w:val="00865553"/>
    <w:rsid w:val="008670C9"/>
    <w:rsid w:val="0087085F"/>
    <w:rsid w:val="00870AC5"/>
    <w:rsid w:val="00870CAD"/>
    <w:rsid w:val="00871AE9"/>
    <w:rsid w:val="00871C79"/>
    <w:rsid w:val="00872E8A"/>
    <w:rsid w:val="00873605"/>
    <w:rsid w:val="008755F9"/>
    <w:rsid w:val="0087596C"/>
    <w:rsid w:val="00875F32"/>
    <w:rsid w:val="00876744"/>
    <w:rsid w:val="00877743"/>
    <w:rsid w:val="00880152"/>
    <w:rsid w:val="00881023"/>
    <w:rsid w:val="00881F65"/>
    <w:rsid w:val="0088225C"/>
    <w:rsid w:val="00882410"/>
    <w:rsid w:val="0088245C"/>
    <w:rsid w:val="00882931"/>
    <w:rsid w:val="00882B19"/>
    <w:rsid w:val="00884572"/>
    <w:rsid w:val="00885621"/>
    <w:rsid w:val="00886375"/>
    <w:rsid w:val="00886651"/>
    <w:rsid w:val="00887A69"/>
    <w:rsid w:val="008904E6"/>
    <w:rsid w:val="008910FD"/>
    <w:rsid w:val="008915BA"/>
    <w:rsid w:val="0089195A"/>
    <w:rsid w:val="00892599"/>
    <w:rsid w:val="00892730"/>
    <w:rsid w:val="0089331F"/>
    <w:rsid w:val="008939EE"/>
    <w:rsid w:val="008943E4"/>
    <w:rsid w:val="00894430"/>
    <w:rsid w:val="008950AF"/>
    <w:rsid w:val="00895120"/>
    <w:rsid w:val="008952C7"/>
    <w:rsid w:val="00895F3E"/>
    <w:rsid w:val="0089644C"/>
    <w:rsid w:val="00897517"/>
    <w:rsid w:val="00897982"/>
    <w:rsid w:val="008A1082"/>
    <w:rsid w:val="008A13B2"/>
    <w:rsid w:val="008A15B7"/>
    <w:rsid w:val="008A4388"/>
    <w:rsid w:val="008A56CA"/>
    <w:rsid w:val="008A58B2"/>
    <w:rsid w:val="008A619E"/>
    <w:rsid w:val="008A629E"/>
    <w:rsid w:val="008A75AE"/>
    <w:rsid w:val="008B08A9"/>
    <w:rsid w:val="008B0C26"/>
    <w:rsid w:val="008B103A"/>
    <w:rsid w:val="008B2510"/>
    <w:rsid w:val="008B2773"/>
    <w:rsid w:val="008B4F47"/>
    <w:rsid w:val="008B5247"/>
    <w:rsid w:val="008B585F"/>
    <w:rsid w:val="008B5BDB"/>
    <w:rsid w:val="008C0765"/>
    <w:rsid w:val="008C3462"/>
    <w:rsid w:val="008C3483"/>
    <w:rsid w:val="008C3A95"/>
    <w:rsid w:val="008C3E28"/>
    <w:rsid w:val="008C3EEE"/>
    <w:rsid w:val="008C40F8"/>
    <w:rsid w:val="008C4123"/>
    <w:rsid w:val="008C4A62"/>
    <w:rsid w:val="008C5483"/>
    <w:rsid w:val="008C5FD3"/>
    <w:rsid w:val="008C62A0"/>
    <w:rsid w:val="008D0462"/>
    <w:rsid w:val="008D071D"/>
    <w:rsid w:val="008D07B1"/>
    <w:rsid w:val="008D1771"/>
    <w:rsid w:val="008D2920"/>
    <w:rsid w:val="008D2933"/>
    <w:rsid w:val="008D2FBA"/>
    <w:rsid w:val="008D319D"/>
    <w:rsid w:val="008D3942"/>
    <w:rsid w:val="008D39EA"/>
    <w:rsid w:val="008D3BAE"/>
    <w:rsid w:val="008D4926"/>
    <w:rsid w:val="008D4F88"/>
    <w:rsid w:val="008D58AF"/>
    <w:rsid w:val="008D6405"/>
    <w:rsid w:val="008D7EA4"/>
    <w:rsid w:val="008E1A76"/>
    <w:rsid w:val="008E1CE1"/>
    <w:rsid w:val="008E1F48"/>
    <w:rsid w:val="008E21D8"/>
    <w:rsid w:val="008E4294"/>
    <w:rsid w:val="008E523B"/>
    <w:rsid w:val="008E5CB4"/>
    <w:rsid w:val="008E6320"/>
    <w:rsid w:val="008E6BD2"/>
    <w:rsid w:val="008E6F4A"/>
    <w:rsid w:val="008F025F"/>
    <w:rsid w:val="008F124F"/>
    <w:rsid w:val="008F20DC"/>
    <w:rsid w:val="008F3403"/>
    <w:rsid w:val="008F3ACA"/>
    <w:rsid w:val="008F429C"/>
    <w:rsid w:val="008F56F3"/>
    <w:rsid w:val="008F68B6"/>
    <w:rsid w:val="008F7694"/>
    <w:rsid w:val="008F7D27"/>
    <w:rsid w:val="00900480"/>
    <w:rsid w:val="009018BE"/>
    <w:rsid w:val="00901E54"/>
    <w:rsid w:val="009025B0"/>
    <w:rsid w:val="00902A8A"/>
    <w:rsid w:val="009033F8"/>
    <w:rsid w:val="0090411C"/>
    <w:rsid w:val="00904657"/>
    <w:rsid w:val="00904896"/>
    <w:rsid w:val="00904A92"/>
    <w:rsid w:val="00905376"/>
    <w:rsid w:val="0090583F"/>
    <w:rsid w:val="0090706F"/>
    <w:rsid w:val="009072BA"/>
    <w:rsid w:val="00911813"/>
    <w:rsid w:val="00911B84"/>
    <w:rsid w:val="0091329F"/>
    <w:rsid w:val="009138C5"/>
    <w:rsid w:val="00913AA5"/>
    <w:rsid w:val="00913E45"/>
    <w:rsid w:val="009140DB"/>
    <w:rsid w:val="0091425C"/>
    <w:rsid w:val="00914A92"/>
    <w:rsid w:val="009174E4"/>
    <w:rsid w:val="00922B69"/>
    <w:rsid w:val="00923276"/>
    <w:rsid w:val="009232C7"/>
    <w:rsid w:val="0092361F"/>
    <w:rsid w:val="00925885"/>
    <w:rsid w:val="0092759A"/>
    <w:rsid w:val="00927D34"/>
    <w:rsid w:val="0093181C"/>
    <w:rsid w:val="009344CE"/>
    <w:rsid w:val="009349DC"/>
    <w:rsid w:val="009353BF"/>
    <w:rsid w:val="00936884"/>
    <w:rsid w:val="00937DDD"/>
    <w:rsid w:val="00937EA6"/>
    <w:rsid w:val="009401ED"/>
    <w:rsid w:val="00941A22"/>
    <w:rsid w:val="00941ED8"/>
    <w:rsid w:val="0094303A"/>
    <w:rsid w:val="009454B2"/>
    <w:rsid w:val="00945A72"/>
    <w:rsid w:val="0094607B"/>
    <w:rsid w:val="009461F6"/>
    <w:rsid w:val="00946768"/>
    <w:rsid w:val="009467EF"/>
    <w:rsid w:val="00946965"/>
    <w:rsid w:val="00946C6B"/>
    <w:rsid w:val="009479E8"/>
    <w:rsid w:val="009518C7"/>
    <w:rsid w:val="009531F9"/>
    <w:rsid w:val="00954266"/>
    <w:rsid w:val="00954AA3"/>
    <w:rsid w:val="00954F98"/>
    <w:rsid w:val="00955174"/>
    <w:rsid w:val="009553A2"/>
    <w:rsid w:val="00960687"/>
    <w:rsid w:val="009618A3"/>
    <w:rsid w:val="00961A4D"/>
    <w:rsid w:val="00961AA4"/>
    <w:rsid w:val="00964C1E"/>
    <w:rsid w:val="00964C92"/>
    <w:rsid w:val="00965284"/>
    <w:rsid w:val="00965650"/>
    <w:rsid w:val="00966498"/>
    <w:rsid w:val="00966D34"/>
    <w:rsid w:val="00966FB5"/>
    <w:rsid w:val="00971344"/>
    <w:rsid w:val="009723AB"/>
    <w:rsid w:val="0097243A"/>
    <w:rsid w:val="00972C5F"/>
    <w:rsid w:val="0097401E"/>
    <w:rsid w:val="00974F0A"/>
    <w:rsid w:val="00974F8E"/>
    <w:rsid w:val="00974FC1"/>
    <w:rsid w:val="00975079"/>
    <w:rsid w:val="009755B9"/>
    <w:rsid w:val="009766C0"/>
    <w:rsid w:val="00976B00"/>
    <w:rsid w:val="00976B73"/>
    <w:rsid w:val="00977346"/>
    <w:rsid w:val="0098378B"/>
    <w:rsid w:val="00983CD0"/>
    <w:rsid w:val="009858BF"/>
    <w:rsid w:val="009867F7"/>
    <w:rsid w:val="0099093C"/>
    <w:rsid w:val="0099219C"/>
    <w:rsid w:val="00992576"/>
    <w:rsid w:val="00992A92"/>
    <w:rsid w:val="0099343E"/>
    <w:rsid w:val="009939ED"/>
    <w:rsid w:val="009947C7"/>
    <w:rsid w:val="0099510D"/>
    <w:rsid w:val="00995E70"/>
    <w:rsid w:val="00996823"/>
    <w:rsid w:val="00996855"/>
    <w:rsid w:val="00997EC4"/>
    <w:rsid w:val="009A29DE"/>
    <w:rsid w:val="009A2F0F"/>
    <w:rsid w:val="009A308C"/>
    <w:rsid w:val="009A4469"/>
    <w:rsid w:val="009A633D"/>
    <w:rsid w:val="009A6849"/>
    <w:rsid w:val="009B1DB4"/>
    <w:rsid w:val="009B23D9"/>
    <w:rsid w:val="009B3738"/>
    <w:rsid w:val="009B5005"/>
    <w:rsid w:val="009B5F3E"/>
    <w:rsid w:val="009B69AC"/>
    <w:rsid w:val="009B7903"/>
    <w:rsid w:val="009B79FA"/>
    <w:rsid w:val="009C0AAB"/>
    <w:rsid w:val="009C12B7"/>
    <w:rsid w:val="009C1650"/>
    <w:rsid w:val="009C1A47"/>
    <w:rsid w:val="009C1AC8"/>
    <w:rsid w:val="009C33B3"/>
    <w:rsid w:val="009C35CD"/>
    <w:rsid w:val="009C42B7"/>
    <w:rsid w:val="009C437E"/>
    <w:rsid w:val="009C567D"/>
    <w:rsid w:val="009C5A64"/>
    <w:rsid w:val="009C6306"/>
    <w:rsid w:val="009C635E"/>
    <w:rsid w:val="009C6801"/>
    <w:rsid w:val="009C6A89"/>
    <w:rsid w:val="009C6D9F"/>
    <w:rsid w:val="009C77A9"/>
    <w:rsid w:val="009D0643"/>
    <w:rsid w:val="009D07AE"/>
    <w:rsid w:val="009D17DA"/>
    <w:rsid w:val="009D190A"/>
    <w:rsid w:val="009D251F"/>
    <w:rsid w:val="009D292A"/>
    <w:rsid w:val="009D58B3"/>
    <w:rsid w:val="009D77B2"/>
    <w:rsid w:val="009E1108"/>
    <w:rsid w:val="009E1849"/>
    <w:rsid w:val="009E2909"/>
    <w:rsid w:val="009E3218"/>
    <w:rsid w:val="009E36C4"/>
    <w:rsid w:val="009E5668"/>
    <w:rsid w:val="009E64E7"/>
    <w:rsid w:val="009E68DC"/>
    <w:rsid w:val="009E6DB0"/>
    <w:rsid w:val="009F01E7"/>
    <w:rsid w:val="009F18DE"/>
    <w:rsid w:val="009F22B0"/>
    <w:rsid w:val="009F36B1"/>
    <w:rsid w:val="009F44F2"/>
    <w:rsid w:val="009F45E4"/>
    <w:rsid w:val="009F4CB0"/>
    <w:rsid w:val="009F5299"/>
    <w:rsid w:val="009F5ADC"/>
    <w:rsid w:val="009F63A1"/>
    <w:rsid w:val="009F6AFE"/>
    <w:rsid w:val="009F73E3"/>
    <w:rsid w:val="009F7C80"/>
    <w:rsid w:val="009F7D6E"/>
    <w:rsid w:val="00A006FB"/>
    <w:rsid w:val="00A021C1"/>
    <w:rsid w:val="00A024A1"/>
    <w:rsid w:val="00A03DA7"/>
    <w:rsid w:val="00A04812"/>
    <w:rsid w:val="00A04C36"/>
    <w:rsid w:val="00A05A21"/>
    <w:rsid w:val="00A05BE1"/>
    <w:rsid w:val="00A0643B"/>
    <w:rsid w:val="00A12625"/>
    <w:rsid w:val="00A12B69"/>
    <w:rsid w:val="00A13EF4"/>
    <w:rsid w:val="00A14091"/>
    <w:rsid w:val="00A15B53"/>
    <w:rsid w:val="00A15D9F"/>
    <w:rsid w:val="00A16210"/>
    <w:rsid w:val="00A17185"/>
    <w:rsid w:val="00A17B0F"/>
    <w:rsid w:val="00A20460"/>
    <w:rsid w:val="00A21661"/>
    <w:rsid w:val="00A2179F"/>
    <w:rsid w:val="00A21C08"/>
    <w:rsid w:val="00A21DFC"/>
    <w:rsid w:val="00A21EBB"/>
    <w:rsid w:val="00A22633"/>
    <w:rsid w:val="00A2308E"/>
    <w:rsid w:val="00A23F2B"/>
    <w:rsid w:val="00A2417F"/>
    <w:rsid w:val="00A249D0"/>
    <w:rsid w:val="00A27A82"/>
    <w:rsid w:val="00A30F43"/>
    <w:rsid w:val="00A312BC"/>
    <w:rsid w:val="00A31B58"/>
    <w:rsid w:val="00A32448"/>
    <w:rsid w:val="00A32923"/>
    <w:rsid w:val="00A33196"/>
    <w:rsid w:val="00A3378B"/>
    <w:rsid w:val="00A34621"/>
    <w:rsid w:val="00A348D6"/>
    <w:rsid w:val="00A34E4D"/>
    <w:rsid w:val="00A3640B"/>
    <w:rsid w:val="00A37797"/>
    <w:rsid w:val="00A40CCA"/>
    <w:rsid w:val="00A4107C"/>
    <w:rsid w:val="00A414D0"/>
    <w:rsid w:val="00A416DA"/>
    <w:rsid w:val="00A42407"/>
    <w:rsid w:val="00A42683"/>
    <w:rsid w:val="00A433FE"/>
    <w:rsid w:val="00A43A10"/>
    <w:rsid w:val="00A44493"/>
    <w:rsid w:val="00A451F1"/>
    <w:rsid w:val="00A452D9"/>
    <w:rsid w:val="00A4551C"/>
    <w:rsid w:val="00A45AA2"/>
    <w:rsid w:val="00A4605F"/>
    <w:rsid w:val="00A47903"/>
    <w:rsid w:val="00A47C9F"/>
    <w:rsid w:val="00A5015B"/>
    <w:rsid w:val="00A509E5"/>
    <w:rsid w:val="00A537CD"/>
    <w:rsid w:val="00A54ACC"/>
    <w:rsid w:val="00A55AA8"/>
    <w:rsid w:val="00A5775F"/>
    <w:rsid w:val="00A57911"/>
    <w:rsid w:val="00A60896"/>
    <w:rsid w:val="00A60B63"/>
    <w:rsid w:val="00A612A2"/>
    <w:rsid w:val="00A61E1C"/>
    <w:rsid w:val="00A61E9F"/>
    <w:rsid w:val="00A636C4"/>
    <w:rsid w:val="00A640BF"/>
    <w:rsid w:val="00A64362"/>
    <w:rsid w:val="00A64A82"/>
    <w:rsid w:val="00A64E48"/>
    <w:rsid w:val="00A65405"/>
    <w:rsid w:val="00A657D6"/>
    <w:rsid w:val="00A66828"/>
    <w:rsid w:val="00A702B0"/>
    <w:rsid w:val="00A705D0"/>
    <w:rsid w:val="00A708B7"/>
    <w:rsid w:val="00A71B7F"/>
    <w:rsid w:val="00A726A3"/>
    <w:rsid w:val="00A72EC4"/>
    <w:rsid w:val="00A72F6D"/>
    <w:rsid w:val="00A72F90"/>
    <w:rsid w:val="00A7322C"/>
    <w:rsid w:val="00A7518F"/>
    <w:rsid w:val="00A7537A"/>
    <w:rsid w:val="00A7546F"/>
    <w:rsid w:val="00A756DC"/>
    <w:rsid w:val="00A75879"/>
    <w:rsid w:val="00A76DDB"/>
    <w:rsid w:val="00A772AC"/>
    <w:rsid w:val="00A801AA"/>
    <w:rsid w:val="00A80A29"/>
    <w:rsid w:val="00A80E15"/>
    <w:rsid w:val="00A82237"/>
    <w:rsid w:val="00A82282"/>
    <w:rsid w:val="00A8275E"/>
    <w:rsid w:val="00A82B82"/>
    <w:rsid w:val="00A84BB9"/>
    <w:rsid w:val="00A85EDB"/>
    <w:rsid w:val="00A87CC8"/>
    <w:rsid w:val="00A903CB"/>
    <w:rsid w:val="00A90989"/>
    <w:rsid w:val="00A90B2C"/>
    <w:rsid w:val="00A92282"/>
    <w:rsid w:val="00A934C0"/>
    <w:rsid w:val="00A936D4"/>
    <w:rsid w:val="00A94498"/>
    <w:rsid w:val="00A94DC0"/>
    <w:rsid w:val="00A97341"/>
    <w:rsid w:val="00A97424"/>
    <w:rsid w:val="00A97C4D"/>
    <w:rsid w:val="00AA023C"/>
    <w:rsid w:val="00AA0333"/>
    <w:rsid w:val="00AA2775"/>
    <w:rsid w:val="00AA3276"/>
    <w:rsid w:val="00AA3570"/>
    <w:rsid w:val="00AA35C9"/>
    <w:rsid w:val="00AA3A91"/>
    <w:rsid w:val="00AA460B"/>
    <w:rsid w:val="00AA46C1"/>
    <w:rsid w:val="00AA490E"/>
    <w:rsid w:val="00AA530A"/>
    <w:rsid w:val="00AA6E1C"/>
    <w:rsid w:val="00AB18D4"/>
    <w:rsid w:val="00AB3627"/>
    <w:rsid w:val="00AB3E86"/>
    <w:rsid w:val="00AB4205"/>
    <w:rsid w:val="00AB4672"/>
    <w:rsid w:val="00AB4688"/>
    <w:rsid w:val="00AB5B24"/>
    <w:rsid w:val="00AB5DE8"/>
    <w:rsid w:val="00AB5FEB"/>
    <w:rsid w:val="00AB60C8"/>
    <w:rsid w:val="00AB7629"/>
    <w:rsid w:val="00AC0F28"/>
    <w:rsid w:val="00AC1037"/>
    <w:rsid w:val="00AC148D"/>
    <w:rsid w:val="00AC3712"/>
    <w:rsid w:val="00AC37B1"/>
    <w:rsid w:val="00AC3869"/>
    <w:rsid w:val="00AC4098"/>
    <w:rsid w:val="00AC43D6"/>
    <w:rsid w:val="00AC4C5C"/>
    <w:rsid w:val="00AC5DDA"/>
    <w:rsid w:val="00AC6031"/>
    <w:rsid w:val="00AC6DB0"/>
    <w:rsid w:val="00AC7518"/>
    <w:rsid w:val="00AC7CE1"/>
    <w:rsid w:val="00AD116F"/>
    <w:rsid w:val="00AD17BF"/>
    <w:rsid w:val="00AD2B91"/>
    <w:rsid w:val="00AD2BAA"/>
    <w:rsid w:val="00AD2CE0"/>
    <w:rsid w:val="00AD3620"/>
    <w:rsid w:val="00AD3A17"/>
    <w:rsid w:val="00AD3A80"/>
    <w:rsid w:val="00AD3B9A"/>
    <w:rsid w:val="00AD5070"/>
    <w:rsid w:val="00AD6644"/>
    <w:rsid w:val="00AD74C2"/>
    <w:rsid w:val="00AD7601"/>
    <w:rsid w:val="00AE02CE"/>
    <w:rsid w:val="00AE0C8E"/>
    <w:rsid w:val="00AE0F93"/>
    <w:rsid w:val="00AE1483"/>
    <w:rsid w:val="00AE20BD"/>
    <w:rsid w:val="00AE2CD5"/>
    <w:rsid w:val="00AE57C6"/>
    <w:rsid w:val="00AE5E60"/>
    <w:rsid w:val="00AE6D5D"/>
    <w:rsid w:val="00AE7D95"/>
    <w:rsid w:val="00AF02C1"/>
    <w:rsid w:val="00AF0742"/>
    <w:rsid w:val="00AF077F"/>
    <w:rsid w:val="00AF1677"/>
    <w:rsid w:val="00AF1689"/>
    <w:rsid w:val="00AF1FAF"/>
    <w:rsid w:val="00AF2E78"/>
    <w:rsid w:val="00AF42C7"/>
    <w:rsid w:val="00AF5718"/>
    <w:rsid w:val="00AF5A3C"/>
    <w:rsid w:val="00AF5A7C"/>
    <w:rsid w:val="00AF5AD5"/>
    <w:rsid w:val="00AF6025"/>
    <w:rsid w:val="00AF6740"/>
    <w:rsid w:val="00AF6BB8"/>
    <w:rsid w:val="00AF701D"/>
    <w:rsid w:val="00B002E2"/>
    <w:rsid w:val="00B0083C"/>
    <w:rsid w:val="00B01111"/>
    <w:rsid w:val="00B01167"/>
    <w:rsid w:val="00B01AFB"/>
    <w:rsid w:val="00B01BDC"/>
    <w:rsid w:val="00B02035"/>
    <w:rsid w:val="00B02A2B"/>
    <w:rsid w:val="00B03248"/>
    <w:rsid w:val="00B06601"/>
    <w:rsid w:val="00B07F6F"/>
    <w:rsid w:val="00B1092E"/>
    <w:rsid w:val="00B110A7"/>
    <w:rsid w:val="00B1163B"/>
    <w:rsid w:val="00B130E2"/>
    <w:rsid w:val="00B14D41"/>
    <w:rsid w:val="00B151DF"/>
    <w:rsid w:val="00B20113"/>
    <w:rsid w:val="00B2065B"/>
    <w:rsid w:val="00B207AD"/>
    <w:rsid w:val="00B2098B"/>
    <w:rsid w:val="00B21D79"/>
    <w:rsid w:val="00B21DEA"/>
    <w:rsid w:val="00B21F74"/>
    <w:rsid w:val="00B23107"/>
    <w:rsid w:val="00B23359"/>
    <w:rsid w:val="00B2505F"/>
    <w:rsid w:val="00B25098"/>
    <w:rsid w:val="00B2697F"/>
    <w:rsid w:val="00B27335"/>
    <w:rsid w:val="00B27F2B"/>
    <w:rsid w:val="00B300F8"/>
    <w:rsid w:val="00B3067B"/>
    <w:rsid w:val="00B3079D"/>
    <w:rsid w:val="00B3094E"/>
    <w:rsid w:val="00B3154A"/>
    <w:rsid w:val="00B31AC8"/>
    <w:rsid w:val="00B330F6"/>
    <w:rsid w:val="00B34203"/>
    <w:rsid w:val="00B34572"/>
    <w:rsid w:val="00B348F7"/>
    <w:rsid w:val="00B34BA2"/>
    <w:rsid w:val="00B3507F"/>
    <w:rsid w:val="00B37253"/>
    <w:rsid w:val="00B406E9"/>
    <w:rsid w:val="00B412F7"/>
    <w:rsid w:val="00B424DF"/>
    <w:rsid w:val="00B433F4"/>
    <w:rsid w:val="00B43AB6"/>
    <w:rsid w:val="00B43D31"/>
    <w:rsid w:val="00B43F38"/>
    <w:rsid w:val="00B441B2"/>
    <w:rsid w:val="00B443C5"/>
    <w:rsid w:val="00B4513B"/>
    <w:rsid w:val="00B451BC"/>
    <w:rsid w:val="00B463FE"/>
    <w:rsid w:val="00B4754B"/>
    <w:rsid w:val="00B476AA"/>
    <w:rsid w:val="00B50265"/>
    <w:rsid w:val="00B50BAC"/>
    <w:rsid w:val="00B5107D"/>
    <w:rsid w:val="00B51284"/>
    <w:rsid w:val="00B519C5"/>
    <w:rsid w:val="00B531C3"/>
    <w:rsid w:val="00B53A07"/>
    <w:rsid w:val="00B5466F"/>
    <w:rsid w:val="00B55126"/>
    <w:rsid w:val="00B551DA"/>
    <w:rsid w:val="00B5533E"/>
    <w:rsid w:val="00B555CA"/>
    <w:rsid w:val="00B55B05"/>
    <w:rsid w:val="00B573C7"/>
    <w:rsid w:val="00B577C5"/>
    <w:rsid w:val="00B60A6F"/>
    <w:rsid w:val="00B60E4F"/>
    <w:rsid w:val="00B61197"/>
    <w:rsid w:val="00B6175A"/>
    <w:rsid w:val="00B62C0C"/>
    <w:rsid w:val="00B62C59"/>
    <w:rsid w:val="00B62CFD"/>
    <w:rsid w:val="00B64334"/>
    <w:rsid w:val="00B6584F"/>
    <w:rsid w:val="00B65F94"/>
    <w:rsid w:val="00B66498"/>
    <w:rsid w:val="00B67D26"/>
    <w:rsid w:val="00B71734"/>
    <w:rsid w:val="00B71859"/>
    <w:rsid w:val="00B733AC"/>
    <w:rsid w:val="00B742A1"/>
    <w:rsid w:val="00B754DE"/>
    <w:rsid w:val="00B76806"/>
    <w:rsid w:val="00B84014"/>
    <w:rsid w:val="00B84A70"/>
    <w:rsid w:val="00B84DE6"/>
    <w:rsid w:val="00B864F5"/>
    <w:rsid w:val="00B86DE2"/>
    <w:rsid w:val="00B87D27"/>
    <w:rsid w:val="00B87EC7"/>
    <w:rsid w:val="00B9038A"/>
    <w:rsid w:val="00B90B19"/>
    <w:rsid w:val="00B91592"/>
    <w:rsid w:val="00B91EC8"/>
    <w:rsid w:val="00B93A32"/>
    <w:rsid w:val="00B94686"/>
    <w:rsid w:val="00B94850"/>
    <w:rsid w:val="00B94F21"/>
    <w:rsid w:val="00B96A91"/>
    <w:rsid w:val="00B9786C"/>
    <w:rsid w:val="00B97E68"/>
    <w:rsid w:val="00B97FA5"/>
    <w:rsid w:val="00BA11CB"/>
    <w:rsid w:val="00BA17C8"/>
    <w:rsid w:val="00BA201F"/>
    <w:rsid w:val="00BA2547"/>
    <w:rsid w:val="00BA382F"/>
    <w:rsid w:val="00BA52B9"/>
    <w:rsid w:val="00BA7B15"/>
    <w:rsid w:val="00BA7B9E"/>
    <w:rsid w:val="00BA7F48"/>
    <w:rsid w:val="00BB26FB"/>
    <w:rsid w:val="00BB26FE"/>
    <w:rsid w:val="00BB286A"/>
    <w:rsid w:val="00BB298A"/>
    <w:rsid w:val="00BB339A"/>
    <w:rsid w:val="00BB3736"/>
    <w:rsid w:val="00BB3DFB"/>
    <w:rsid w:val="00BB41C2"/>
    <w:rsid w:val="00BB4630"/>
    <w:rsid w:val="00BB6D60"/>
    <w:rsid w:val="00BB7238"/>
    <w:rsid w:val="00BB7976"/>
    <w:rsid w:val="00BC2066"/>
    <w:rsid w:val="00BC39C9"/>
    <w:rsid w:val="00BC4A60"/>
    <w:rsid w:val="00BC4FE0"/>
    <w:rsid w:val="00BC504B"/>
    <w:rsid w:val="00BC53E8"/>
    <w:rsid w:val="00BC5FE1"/>
    <w:rsid w:val="00BC6074"/>
    <w:rsid w:val="00BC6401"/>
    <w:rsid w:val="00BC7390"/>
    <w:rsid w:val="00BC786F"/>
    <w:rsid w:val="00BD0C59"/>
    <w:rsid w:val="00BD1A40"/>
    <w:rsid w:val="00BD306F"/>
    <w:rsid w:val="00BD31AB"/>
    <w:rsid w:val="00BD34AC"/>
    <w:rsid w:val="00BD3927"/>
    <w:rsid w:val="00BD5C8D"/>
    <w:rsid w:val="00BD5D62"/>
    <w:rsid w:val="00BD60D0"/>
    <w:rsid w:val="00BD697C"/>
    <w:rsid w:val="00BE13A4"/>
    <w:rsid w:val="00BE1695"/>
    <w:rsid w:val="00BE2231"/>
    <w:rsid w:val="00BE27F0"/>
    <w:rsid w:val="00BE302C"/>
    <w:rsid w:val="00BE346E"/>
    <w:rsid w:val="00BE38CE"/>
    <w:rsid w:val="00BE5250"/>
    <w:rsid w:val="00BE5E4E"/>
    <w:rsid w:val="00BE6DA8"/>
    <w:rsid w:val="00BE72F1"/>
    <w:rsid w:val="00BF006D"/>
    <w:rsid w:val="00BF024A"/>
    <w:rsid w:val="00BF17AB"/>
    <w:rsid w:val="00BF1E4F"/>
    <w:rsid w:val="00BF208F"/>
    <w:rsid w:val="00BF2D66"/>
    <w:rsid w:val="00BF2D96"/>
    <w:rsid w:val="00BF2DE0"/>
    <w:rsid w:val="00BF333C"/>
    <w:rsid w:val="00BF33D7"/>
    <w:rsid w:val="00BF43F7"/>
    <w:rsid w:val="00BF5694"/>
    <w:rsid w:val="00BF7191"/>
    <w:rsid w:val="00BF7CA2"/>
    <w:rsid w:val="00C019AD"/>
    <w:rsid w:val="00C01A9E"/>
    <w:rsid w:val="00C01E44"/>
    <w:rsid w:val="00C02F78"/>
    <w:rsid w:val="00C04988"/>
    <w:rsid w:val="00C056A2"/>
    <w:rsid w:val="00C05CAA"/>
    <w:rsid w:val="00C0766D"/>
    <w:rsid w:val="00C07826"/>
    <w:rsid w:val="00C07BAF"/>
    <w:rsid w:val="00C1000A"/>
    <w:rsid w:val="00C10AAA"/>
    <w:rsid w:val="00C114FD"/>
    <w:rsid w:val="00C13112"/>
    <w:rsid w:val="00C16692"/>
    <w:rsid w:val="00C16DDF"/>
    <w:rsid w:val="00C20646"/>
    <w:rsid w:val="00C20703"/>
    <w:rsid w:val="00C20EA2"/>
    <w:rsid w:val="00C2389B"/>
    <w:rsid w:val="00C241F1"/>
    <w:rsid w:val="00C2425D"/>
    <w:rsid w:val="00C242EA"/>
    <w:rsid w:val="00C2497D"/>
    <w:rsid w:val="00C24E03"/>
    <w:rsid w:val="00C24E67"/>
    <w:rsid w:val="00C2533A"/>
    <w:rsid w:val="00C25BFC"/>
    <w:rsid w:val="00C25C7D"/>
    <w:rsid w:val="00C26DA3"/>
    <w:rsid w:val="00C26EC5"/>
    <w:rsid w:val="00C27ED3"/>
    <w:rsid w:val="00C32BB4"/>
    <w:rsid w:val="00C34038"/>
    <w:rsid w:val="00C3542C"/>
    <w:rsid w:val="00C36F7B"/>
    <w:rsid w:val="00C3794E"/>
    <w:rsid w:val="00C40C8E"/>
    <w:rsid w:val="00C41AE3"/>
    <w:rsid w:val="00C421F0"/>
    <w:rsid w:val="00C42FBF"/>
    <w:rsid w:val="00C43F02"/>
    <w:rsid w:val="00C43F07"/>
    <w:rsid w:val="00C4554E"/>
    <w:rsid w:val="00C45B3B"/>
    <w:rsid w:val="00C46599"/>
    <w:rsid w:val="00C4702B"/>
    <w:rsid w:val="00C5061B"/>
    <w:rsid w:val="00C50C09"/>
    <w:rsid w:val="00C50F73"/>
    <w:rsid w:val="00C5282F"/>
    <w:rsid w:val="00C53A06"/>
    <w:rsid w:val="00C53E85"/>
    <w:rsid w:val="00C54575"/>
    <w:rsid w:val="00C54CA8"/>
    <w:rsid w:val="00C57BB6"/>
    <w:rsid w:val="00C62A66"/>
    <w:rsid w:val="00C62B13"/>
    <w:rsid w:val="00C62D76"/>
    <w:rsid w:val="00C66DD2"/>
    <w:rsid w:val="00C67E8A"/>
    <w:rsid w:val="00C7065F"/>
    <w:rsid w:val="00C71427"/>
    <w:rsid w:val="00C72447"/>
    <w:rsid w:val="00C7320D"/>
    <w:rsid w:val="00C7324B"/>
    <w:rsid w:val="00C739EC"/>
    <w:rsid w:val="00C73EF9"/>
    <w:rsid w:val="00C741B9"/>
    <w:rsid w:val="00C749B2"/>
    <w:rsid w:val="00C7570F"/>
    <w:rsid w:val="00C7573E"/>
    <w:rsid w:val="00C764E1"/>
    <w:rsid w:val="00C76D5C"/>
    <w:rsid w:val="00C76FCC"/>
    <w:rsid w:val="00C77098"/>
    <w:rsid w:val="00C8261B"/>
    <w:rsid w:val="00C83CCB"/>
    <w:rsid w:val="00C840EB"/>
    <w:rsid w:val="00C84110"/>
    <w:rsid w:val="00C8425A"/>
    <w:rsid w:val="00C84F8C"/>
    <w:rsid w:val="00C85BF7"/>
    <w:rsid w:val="00C86D29"/>
    <w:rsid w:val="00C87498"/>
    <w:rsid w:val="00C90BA8"/>
    <w:rsid w:val="00C92344"/>
    <w:rsid w:val="00C92431"/>
    <w:rsid w:val="00C9248C"/>
    <w:rsid w:val="00C92A3A"/>
    <w:rsid w:val="00C93BAD"/>
    <w:rsid w:val="00C94B6B"/>
    <w:rsid w:val="00C94C32"/>
    <w:rsid w:val="00C9621C"/>
    <w:rsid w:val="00C97182"/>
    <w:rsid w:val="00C978C3"/>
    <w:rsid w:val="00CA23C3"/>
    <w:rsid w:val="00CA295E"/>
    <w:rsid w:val="00CA296D"/>
    <w:rsid w:val="00CA2E38"/>
    <w:rsid w:val="00CA3044"/>
    <w:rsid w:val="00CA4392"/>
    <w:rsid w:val="00CB0F48"/>
    <w:rsid w:val="00CB1419"/>
    <w:rsid w:val="00CB166A"/>
    <w:rsid w:val="00CB1F7F"/>
    <w:rsid w:val="00CB1FE6"/>
    <w:rsid w:val="00CB4730"/>
    <w:rsid w:val="00CB54E5"/>
    <w:rsid w:val="00CB5515"/>
    <w:rsid w:val="00CB57D0"/>
    <w:rsid w:val="00CB5A80"/>
    <w:rsid w:val="00CB5D7B"/>
    <w:rsid w:val="00CB7830"/>
    <w:rsid w:val="00CC0CBE"/>
    <w:rsid w:val="00CC1612"/>
    <w:rsid w:val="00CC1804"/>
    <w:rsid w:val="00CC1ADD"/>
    <w:rsid w:val="00CC1BF7"/>
    <w:rsid w:val="00CC2070"/>
    <w:rsid w:val="00CC26AA"/>
    <w:rsid w:val="00CC2E0D"/>
    <w:rsid w:val="00CC3637"/>
    <w:rsid w:val="00CC3D91"/>
    <w:rsid w:val="00CC3E3A"/>
    <w:rsid w:val="00CC5191"/>
    <w:rsid w:val="00CC61D1"/>
    <w:rsid w:val="00CC6E65"/>
    <w:rsid w:val="00CC7E3E"/>
    <w:rsid w:val="00CD01B5"/>
    <w:rsid w:val="00CD0372"/>
    <w:rsid w:val="00CD0F30"/>
    <w:rsid w:val="00CD125A"/>
    <w:rsid w:val="00CD148C"/>
    <w:rsid w:val="00CD2F6F"/>
    <w:rsid w:val="00CD4609"/>
    <w:rsid w:val="00CD5B2D"/>
    <w:rsid w:val="00CD67CA"/>
    <w:rsid w:val="00CD768A"/>
    <w:rsid w:val="00CE001B"/>
    <w:rsid w:val="00CE0D03"/>
    <w:rsid w:val="00CE1617"/>
    <w:rsid w:val="00CE1C00"/>
    <w:rsid w:val="00CE1F3D"/>
    <w:rsid w:val="00CE4680"/>
    <w:rsid w:val="00CE591C"/>
    <w:rsid w:val="00CE6ABD"/>
    <w:rsid w:val="00CE6D76"/>
    <w:rsid w:val="00CF03C9"/>
    <w:rsid w:val="00CF0990"/>
    <w:rsid w:val="00CF14E4"/>
    <w:rsid w:val="00CF1AD6"/>
    <w:rsid w:val="00CF1BB0"/>
    <w:rsid w:val="00CF2681"/>
    <w:rsid w:val="00CF280E"/>
    <w:rsid w:val="00CF28FD"/>
    <w:rsid w:val="00CF321F"/>
    <w:rsid w:val="00CF35E0"/>
    <w:rsid w:val="00CF3873"/>
    <w:rsid w:val="00CF505D"/>
    <w:rsid w:val="00CF5194"/>
    <w:rsid w:val="00CF5D1A"/>
    <w:rsid w:val="00CF5DBF"/>
    <w:rsid w:val="00CF7670"/>
    <w:rsid w:val="00CF7B18"/>
    <w:rsid w:val="00D0049D"/>
    <w:rsid w:val="00D02061"/>
    <w:rsid w:val="00D022E5"/>
    <w:rsid w:val="00D02BFB"/>
    <w:rsid w:val="00D03AA1"/>
    <w:rsid w:val="00D04FAB"/>
    <w:rsid w:val="00D053A6"/>
    <w:rsid w:val="00D05E72"/>
    <w:rsid w:val="00D06F34"/>
    <w:rsid w:val="00D07270"/>
    <w:rsid w:val="00D073F4"/>
    <w:rsid w:val="00D10B75"/>
    <w:rsid w:val="00D10D13"/>
    <w:rsid w:val="00D10E13"/>
    <w:rsid w:val="00D11366"/>
    <w:rsid w:val="00D11FBB"/>
    <w:rsid w:val="00D12672"/>
    <w:rsid w:val="00D15AD6"/>
    <w:rsid w:val="00D160F3"/>
    <w:rsid w:val="00D165B6"/>
    <w:rsid w:val="00D2069E"/>
    <w:rsid w:val="00D2265D"/>
    <w:rsid w:val="00D23B49"/>
    <w:rsid w:val="00D24AAC"/>
    <w:rsid w:val="00D25D78"/>
    <w:rsid w:val="00D27410"/>
    <w:rsid w:val="00D27924"/>
    <w:rsid w:val="00D27B9D"/>
    <w:rsid w:val="00D27ED5"/>
    <w:rsid w:val="00D30131"/>
    <w:rsid w:val="00D3163D"/>
    <w:rsid w:val="00D317B7"/>
    <w:rsid w:val="00D32446"/>
    <w:rsid w:val="00D3274F"/>
    <w:rsid w:val="00D33076"/>
    <w:rsid w:val="00D340A1"/>
    <w:rsid w:val="00D35B14"/>
    <w:rsid w:val="00D36036"/>
    <w:rsid w:val="00D4072A"/>
    <w:rsid w:val="00D40786"/>
    <w:rsid w:val="00D40DE8"/>
    <w:rsid w:val="00D432DC"/>
    <w:rsid w:val="00D43B2B"/>
    <w:rsid w:val="00D43EC0"/>
    <w:rsid w:val="00D44736"/>
    <w:rsid w:val="00D45822"/>
    <w:rsid w:val="00D46A14"/>
    <w:rsid w:val="00D46DD5"/>
    <w:rsid w:val="00D472D6"/>
    <w:rsid w:val="00D474CE"/>
    <w:rsid w:val="00D502C5"/>
    <w:rsid w:val="00D5133B"/>
    <w:rsid w:val="00D51E4D"/>
    <w:rsid w:val="00D51E8E"/>
    <w:rsid w:val="00D522EA"/>
    <w:rsid w:val="00D52729"/>
    <w:rsid w:val="00D5382D"/>
    <w:rsid w:val="00D54078"/>
    <w:rsid w:val="00D55379"/>
    <w:rsid w:val="00D55D49"/>
    <w:rsid w:val="00D55D7B"/>
    <w:rsid w:val="00D55D82"/>
    <w:rsid w:val="00D566B5"/>
    <w:rsid w:val="00D568AA"/>
    <w:rsid w:val="00D56F67"/>
    <w:rsid w:val="00D57E9E"/>
    <w:rsid w:val="00D6070F"/>
    <w:rsid w:val="00D61BA4"/>
    <w:rsid w:val="00D61CC9"/>
    <w:rsid w:val="00D61F3B"/>
    <w:rsid w:val="00D62534"/>
    <w:rsid w:val="00D64622"/>
    <w:rsid w:val="00D651CA"/>
    <w:rsid w:val="00D652F7"/>
    <w:rsid w:val="00D65FAF"/>
    <w:rsid w:val="00D65FF5"/>
    <w:rsid w:val="00D667B7"/>
    <w:rsid w:val="00D677F0"/>
    <w:rsid w:val="00D67D53"/>
    <w:rsid w:val="00D67DC1"/>
    <w:rsid w:val="00D7115B"/>
    <w:rsid w:val="00D7167F"/>
    <w:rsid w:val="00D72B03"/>
    <w:rsid w:val="00D75751"/>
    <w:rsid w:val="00D75CB1"/>
    <w:rsid w:val="00D768BD"/>
    <w:rsid w:val="00D7744C"/>
    <w:rsid w:val="00D77687"/>
    <w:rsid w:val="00D811BE"/>
    <w:rsid w:val="00D845A3"/>
    <w:rsid w:val="00D84A29"/>
    <w:rsid w:val="00D86CD9"/>
    <w:rsid w:val="00D87299"/>
    <w:rsid w:val="00D902DE"/>
    <w:rsid w:val="00D90B24"/>
    <w:rsid w:val="00D90D38"/>
    <w:rsid w:val="00D912C1"/>
    <w:rsid w:val="00D91581"/>
    <w:rsid w:val="00D91855"/>
    <w:rsid w:val="00D91D5D"/>
    <w:rsid w:val="00D9221B"/>
    <w:rsid w:val="00D922A8"/>
    <w:rsid w:val="00D927DB"/>
    <w:rsid w:val="00D93A59"/>
    <w:rsid w:val="00D949D1"/>
    <w:rsid w:val="00D94F23"/>
    <w:rsid w:val="00D95D93"/>
    <w:rsid w:val="00D95EE4"/>
    <w:rsid w:val="00D962B6"/>
    <w:rsid w:val="00D96BD3"/>
    <w:rsid w:val="00D96D1B"/>
    <w:rsid w:val="00D9714A"/>
    <w:rsid w:val="00D97CBE"/>
    <w:rsid w:val="00DA0D61"/>
    <w:rsid w:val="00DA0F80"/>
    <w:rsid w:val="00DA2D5C"/>
    <w:rsid w:val="00DA4756"/>
    <w:rsid w:val="00DA4992"/>
    <w:rsid w:val="00DA4B81"/>
    <w:rsid w:val="00DA54FA"/>
    <w:rsid w:val="00DA59A3"/>
    <w:rsid w:val="00DB06C6"/>
    <w:rsid w:val="00DB188B"/>
    <w:rsid w:val="00DB1BFE"/>
    <w:rsid w:val="00DB23EC"/>
    <w:rsid w:val="00DB2934"/>
    <w:rsid w:val="00DB31A2"/>
    <w:rsid w:val="00DB360F"/>
    <w:rsid w:val="00DB39C9"/>
    <w:rsid w:val="00DB3B9E"/>
    <w:rsid w:val="00DB3E9A"/>
    <w:rsid w:val="00DB4899"/>
    <w:rsid w:val="00DB4DCF"/>
    <w:rsid w:val="00DB54BF"/>
    <w:rsid w:val="00DB5FCE"/>
    <w:rsid w:val="00DB69C5"/>
    <w:rsid w:val="00DB71A5"/>
    <w:rsid w:val="00DB7E26"/>
    <w:rsid w:val="00DB7F31"/>
    <w:rsid w:val="00DC048D"/>
    <w:rsid w:val="00DC04F6"/>
    <w:rsid w:val="00DC085F"/>
    <w:rsid w:val="00DC0B68"/>
    <w:rsid w:val="00DC1792"/>
    <w:rsid w:val="00DC193A"/>
    <w:rsid w:val="00DC1A5A"/>
    <w:rsid w:val="00DC1CCB"/>
    <w:rsid w:val="00DC2E68"/>
    <w:rsid w:val="00DC3A2C"/>
    <w:rsid w:val="00DC3CF6"/>
    <w:rsid w:val="00DC4D48"/>
    <w:rsid w:val="00DC5443"/>
    <w:rsid w:val="00DC5C38"/>
    <w:rsid w:val="00DC6C28"/>
    <w:rsid w:val="00DC6E4F"/>
    <w:rsid w:val="00DC79C8"/>
    <w:rsid w:val="00DC7A4F"/>
    <w:rsid w:val="00DD0259"/>
    <w:rsid w:val="00DD030C"/>
    <w:rsid w:val="00DD046A"/>
    <w:rsid w:val="00DD0A89"/>
    <w:rsid w:val="00DD12A5"/>
    <w:rsid w:val="00DD34AD"/>
    <w:rsid w:val="00DD3FD4"/>
    <w:rsid w:val="00DD58F5"/>
    <w:rsid w:val="00DD6A3D"/>
    <w:rsid w:val="00DE3733"/>
    <w:rsid w:val="00DE38EE"/>
    <w:rsid w:val="00DE42BC"/>
    <w:rsid w:val="00DE4D1C"/>
    <w:rsid w:val="00DE5425"/>
    <w:rsid w:val="00DE67F0"/>
    <w:rsid w:val="00DE710B"/>
    <w:rsid w:val="00DE731A"/>
    <w:rsid w:val="00DF059A"/>
    <w:rsid w:val="00DF07A3"/>
    <w:rsid w:val="00DF0A7C"/>
    <w:rsid w:val="00DF2E94"/>
    <w:rsid w:val="00DF30F2"/>
    <w:rsid w:val="00DF3C53"/>
    <w:rsid w:val="00DF3E95"/>
    <w:rsid w:val="00DF4990"/>
    <w:rsid w:val="00DF5516"/>
    <w:rsid w:val="00DF5D18"/>
    <w:rsid w:val="00DF63AF"/>
    <w:rsid w:val="00DF6A9E"/>
    <w:rsid w:val="00DF7060"/>
    <w:rsid w:val="00E00163"/>
    <w:rsid w:val="00E006A1"/>
    <w:rsid w:val="00E01682"/>
    <w:rsid w:val="00E01DFD"/>
    <w:rsid w:val="00E0328E"/>
    <w:rsid w:val="00E05938"/>
    <w:rsid w:val="00E05ACE"/>
    <w:rsid w:val="00E05D2E"/>
    <w:rsid w:val="00E06804"/>
    <w:rsid w:val="00E07D90"/>
    <w:rsid w:val="00E07D9B"/>
    <w:rsid w:val="00E11186"/>
    <w:rsid w:val="00E11DCC"/>
    <w:rsid w:val="00E14144"/>
    <w:rsid w:val="00E14F07"/>
    <w:rsid w:val="00E15584"/>
    <w:rsid w:val="00E15682"/>
    <w:rsid w:val="00E15A37"/>
    <w:rsid w:val="00E1668F"/>
    <w:rsid w:val="00E1710A"/>
    <w:rsid w:val="00E17989"/>
    <w:rsid w:val="00E17A2A"/>
    <w:rsid w:val="00E17D34"/>
    <w:rsid w:val="00E201E8"/>
    <w:rsid w:val="00E20C51"/>
    <w:rsid w:val="00E222E9"/>
    <w:rsid w:val="00E22AAB"/>
    <w:rsid w:val="00E234F2"/>
    <w:rsid w:val="00E2415E"/>
    <w:rsid w:val="00E2481B"/>
    <w:rsid w:val="00E27978"/>
    <w:rsid w:val="00E27B5A"/>
    <w:rsid w:val="00E30039"/>
    <w:rsid w:val="00E30425"/>
    <w:rsid w:val="00E307D1"/>
    <w:rsid w:val="00E31335"/>
    <w:rsid w:val="00E32621"/>
    <w:rsid w:val="00E352E5"/>
    <w:rsid w:val="00E37769"/>
    <w:rsid w:val="00E40FB0"/>
    <w:rsid w:val="00E416B0"/>
    <w:rsid w:val="00E42100"/>
    <w:rsid w:val="00E43280"/>
    <w:rsid w:val="00E43A37"/>
    <w:rsid w:val="00E43B0C"/>
    <w:rsid w:val="00E4432E"/>
    <w:rsid w:val="00E4489C"/>
    <w:rsid w:val="00E44BFF"/>
    <w:rsid w:val="00E4593D"/>
    <w:rsid w:val="00E468FE"/>
    <w:rsid w:val="00E476A9"/>
    <w:rsid w:val="00E476DE"/>
    <w:rsid w:val="00E50863"/>
    <w:rsid w:val="00E50A55"/>
    <w:rsid w:val="00E52775"/>
    <w:rsid w:val="00E53B18"/>
    <w:rsid w:val="00E56707"/>
    <w:rsid w:val="00E61AA5"/>
    <w:rsid w:val="00E6215E"/>
    <w:rsid w:val="00E63785"/>
    <w:rsid w:val="00E64291"/>
    <w:rsid w:val="00E643BF"/>
    <w:rsid w:val="00E64E50"/>
    <w:rsid w:val="00E65177"/>
    <w:rsid w:val="00E660D8"/>
    <w:rsid w:val="00E66C85"/>
    <w:rsid w:val="00E66EFC"/>
    <w:rsid w:val="00E71EF5"/>
    <w:rsid w:val="00E721DF"/>
    <w:rsid w:val="00E72C1D"/>
    <w:rsid w:val="00E735B7"/>
    <w:rsid w:val="00E7415A"/>
    <w:rsid w:val="00E74241"/>
    <w:rsid w:val="00E75092"/>
    <w:rsid w:val="00E75B35"/>
    <w:rsid w:val="00E76E60"/>
    <w:rsid w:val="00E77E5A"/>
    <w:rsid w:val="00E80318"/>
    <w:rsid w:val="00E81F75"/>
    <w:rsid w:val="00E82415"/>
    <w:rsid w:val="00E82DCB"/>
    <w:rsid w:val="00E836CE"/>
    <w:rsid w:val="00E874A7"/>
    <w:rsid w:val="00E87BB5"/>
    <w:rsid w:val="00E91B87"/>
    <w:rsid w:val="00E92763"/>
    <w:rsid w:val="00E93B6F"/>
    <w:rsid w:val="00E93BCF"/>
    <w:rsid w:val="00E9417F"/>
    <w:rsid w:val="00E95B48"/>
    <w:rsid w:val="00E960E0"/>
    <w:rsid w:val="00E97124"/>
    <w:rsid w:val="00EA0A21"/>
    <w:rsid w:val="00EA158B"/>
    <w:rsid w:val="00EA1A4B"/>
    <w:rsid w:val="00EA1AA1"/>
    <w:rsid w:val="00EA1E87"/>
    <w:rsid w:val="00EA328D"/>
    <w:rsid w:val="00EA44E9"/>
    <w:rsid w:val="00EA4532"/>
    <w:rsid w:val="00EA4B2C"/>
    <w:rsid w:val="00EA6022"/>
    <w:rsid w:val="00EA6C85"/>
    <w:rsid w:val="00EA78F6"/>
    <w:rsid w:val="00EA7E39"/>
    <w:rsid w:val="00EB009E"/>
    <w:rsid w:val="00EB0997"/>
    <w:rsid w:val="00EB3D4F"/>
    <w:rsid w:val="00EB43FE"/>
    <w:rsid w:val="00EB6380"/>
    <w:rsid w:val="00EB7409"/>
    <w:rsid w:val="00EB78AC"/>
    <w:rsid w:val="00EB7950"/>
    <w:rsid w:val="00EB7D0B"/>
    <w:rsid w:val="00EC121A"/>
    <w:rsid w:val="00EC1279"/>
    <w:rsid w:val="00EC12F0"/>
    <w:rsid w:val="00EC1DB9"/>
    <w:rsid w:val="00EC2674"/>
    <w:rsid w:val="00EC2698"/>
    <w:rsid w:val="00EC2CEB"/>
    <w:rsid w:val="00EC2CFD"/>
    <w:rsid w:val="00EC3015"/>
    <w:rsid w:val="00EC3E88"/>
    <w:rsid w:val="00EC45BC"/>
    <w:rsid w:val="00EC46C3"/>
    <w:rsid w:val="00EC4774"/>
    <w:rsid w:val="00EC5EF6"/>
    <w:rsid w:val="00EC6042"/>
    <w:rsid w:val="00EC669F"/>
    <w:rsid w:val="00EC7751"/>
    <w:rsid w:val="00ED05F6"/>
    <w:rsid w:val="00ED2410"/>
    <w:rsid w:val="00ED3ADF"/>
    <w:rsid w:val="00ED553C"/>
    <w:rsid w:val="00ED555E"/>
    <w:rsid w:val="00ED633A"/>
    <w:rsid w:val="00ED7610"/>
    <w:rsid w:val="00ED7758"/>
    <w:rsid w:val="00ED7877"/>
    <w:rsid w:val="00EE0DBB"/>
    <w:rsid w:val="00EE10F4"/>
    <w:rsid w:val="00EE1D10"/>
    <w:rsid w:val="00EE2FBF"/>
    <w:rsid w:val="00EE36DC"/>
    <w:rsid w:val="00EE6A7B"/>
    <w:rsid w:val="00EF03F6"/>
    <w:rsid w:val="00EF084A"/>
    <w:rsid w:val="00EF1052"/>
    <w:rsid w:val="00EF16D5"/>
    <w:rsid w:val="00EF1703"/>
    <w:rsid w:val="00EF3975"/>
    <w:rsid w:val="00EF3A0C"/>
    <w:rsid w:val="00EF3DB0"/>
    <w:rsid w:val="00EF472E"/>
    <w:rsid w:val="00EF4910"/>
    <w:rsid w:val="00EF4E11"/>
    <w:rsid w:val="00EF5178"/>
    <w:rsid w:val="00F013FE"/>
    <w:rsid w:val="00F01C6E"/>
    <w:rsid w:val="00F01F8E"/>
    <w:rsid w:val="00F0259C"/>
    <w:rsid w:val="00F0346B"/>
    <w:rsid w:val="00F03A97"/>
    <w:rsid w:val="00F03C65"/>
    <w:rsid w:val="00F045C2"/>
    <w:rsid w:val="00F0479D"/>
    <w:rsid w:val="00F05AAC"/>
    <w:rsid w:val="00F064B3"/>
    <w:rsid w:val="00F07525"/>
    <w:rsid w:val="00F07F9E"/>
    <w:rsid w:val="00F12D02"/>
    <w:rsid w:val="00F130E3"/>
    <w:rsid w:val="00F13EEE"/>
    <w:rsid w:val="00F14C02"/>
    <w:rsid w:val="00F156F2"/>
    <w:rsid w:val="00F202B9"/>
    <w:rsid w:val="00F208A7"/>
    <w:rsid w:val="00F22A6D"/>
    <w:rsid w:val="00F22AE9"/>
    <w:rsid w:val="00F23389"/>
    <w:rsid w:val="00F247E1"/>
    <w:rsid w:val="00F253F6"/>
    <w:rsid w:val="00F253FD"/>
    <w:rsid w:val="00F25DCF"/>
    <w:rsid w:val="00F25DF9"/>
    <w:rsid w:val="00F27AD7"/>
    <w:rsid w:val="00F310D5"/>
    <w:rsid w:val="00F31F7C"/>
    <w:rsid w:val="00F3244A"/>
    <w:rsid w:val="00F327E2"/>
    <w:rsid w:val="00F32BB8"/>
    <w:rsid w:val="00F338E7"/>
    <w:rsid w:val="00F34797"/>
    <w:rsid w:val="00F35116"/>
    <w:rsid w:val="00F3582E"/>
    <w:rsid w:val="00F37699"/>
    <w:rsid w:val="00F37928"/>
    <w:rsid w:val="00F40C3A"/>
    <w:rsid w:val="00F422F4"/>
    <w:rsid w:val="00F4380F"/>
    <w:rsid w:val="00F43B51"/>
    <w:rsid w:val="00F43E18"/>
    <w:rsid w:val="00F47751"/>
    <w:rsid w:val="00F5077B"/>
    <w:rsid w:val="00F50D08"/>
    <w:rsid w:val="00F52CE1"/>
    <w:rsid w:val="00F53648"/>
    <w:rsid w:val="00F5567F"/>
    <w:rsid w:val="00F56142"/>
    <w:rsid w:val="00F57412"/>
    <w:rsid w:val="00F60E85"/>
    <w:rsid w:val="00F6142D"/>
    <w:rsid w:val="00F6226B"/>
    <w:rsid w:val="00F62354"/>
    <w:rsid w:val="00F62963"/>
    <w:rsid w:val="00F62C06"/>
    <w:rsid w:val="00F63779"/>
    <w:rsid w:val="00F63BDE"/>
    <w:rsid w:val="00F64573"/>
    <w:rsid w:val="00F64F15"/>
    <w:rsid w:val="00F6580A"/>
    <w:rsid w:val="00F663EF"/>
    <w:rsid w:val="00F70857"/>
    <w:rsid w:val="00F70B70"/>
    <w:rsid w:val="00F71010"/>
    <w:rsid w:val="00F71986"/>
    <w:rsid w:val="00F720F6"/>
    <w:rsid w:val="00F731E1"/>
    <w:rsid w:val="00F732FE"/>
    <w:rsid w:val="00F73E54"/>
    <w:rsid w:val="00F76AC1"/>
    <w:rsid w:val="00F76E00"/>
    <w:rsid w:val="00F76FD2"/>
    <w:rsid w:val="00F77010"/>
    <w:rsid w:val="00F817DE"/>
    <w:rsid w:val="00F8194E"/>
    <w:rsid w:val="00F820AB"/>
    <w:rsid w:val="00F8304F"/>
    <w:rsid w:val="00F830FE"/>
    <w:rsid w:val="00F8352A"/>
    <w:rsid w:val="00F83D70"/>
    <w:rsid w:val="00F85653"/>
    <w:rsid w:val="00F8577A"/>
    <w:rsid w:val="00F85AB4"/>
    <w:rsid w:val="00F86FA1"/>
    <w:rsid w:val="00F874DC"/>
    <w:rsid w:val="00F904B0"/>
    <w:rsid w:val="00F90577"/>
    <w:rsid w:val="00F91079"/>
    <w:rsid w:val="00F91775"/>
    <w:rsid w:val="00F917C9"/>
    <w:rsid w:val="00F91AA2"/>
    <w:rsid w:val="00F92C78"/>
    <w:rsid w:val="00F934C1"/>
    <w:rsid w:val="00F93F80"/>
    <w:rsid w:val="00F94694"/>
    <w:rsid w:val="00F94A6F"/>
    <w:rsid w:val="00F95226"/>
    <w:rsid w:val="00F96424"/>
    <w:rsid w:val="00F964FF"/>
    <w:rsid w:val="00F9796B"/>
    <w:rsid w:val="00F97F30"/>
    <w:rsid w:val="00FA03E0"/>
    <w:rsid w:val="00FA1F06"/>
    <w:rsid w:val="00FA23F7"/>
    <w:rsid w:val="00FA317D"/>
    <w:rsid w:val="00FA4E2D"/>
    <w:rsid w:val="00FA5CDA"/>
    <w:rsid w:val="00FA7701"/>
    <w:rsid w:val="00FB03A2"/>
    <w:rsid w:val="00FB04CD"/>
    <w:rsid w:val="00FB0889"/>
    <w:rsid w:val="00FB1776"/>
    <w:rsid w:val="00FB1943"/>
    <w:rsid w:val="00FB1E60"/>
    <w:rsid w:val="00FB2C5C"/>
    <w:rsid w:val="00FB3741"/>
    <w:rsid w:val="00FB5B35"/>
    <w:rsid w:val="00FB737F"/>
    <w:rsid w:val="00FC2A7D"/>
    <w:rsid w:val="00FC3E51"/>
    <w:rsid w:val="00FC48BB"/>
    <w:rsid w:val="00FC6AB4"/>
    <w:rsid w:val="00FC6B87"/>
    <w:rsid w:val="00FC6EA5"/>
    <w:rsid w:val="00FC7269"/>
    <w:rsid w:val="00FD0451"/>
    <w:rsid w:val="00FD0D1E"/>
    <w:rsid w:val="00FD15BA"/>
    <w:rsid w:val="00FD3BF4"/>
    <w:rsid w:val="00FD42F8"/>
    <w:rsid w:val="00FD52EC"/>
    <w:rsid w:val="00FD53A0"/>
    <w:rsid w:val="00FD5A13"/>
    <w:rsid w:val="00FD782E"/>
    <w:rsid w:val="00FD7867"/>
    <w:rsid w:val="00FD7C91"/>
    <w:rsid w:val="00FE1756"/>
    <w:rsid w:val="00FE1BC4"/>
    <w:rsid w:val="00FE1E3F"/>
    <w:rsid w:val="00FE208A"/>
    <w:rsid w:val="00FE289D"/>
    <w:rsid w:val="00FE2D20"/>
    <w:rsid w:val="00FE3914"/>
    <w:rsid w:val="00FE50E9"/>
    <w:rsid w:val="00FE68A8"/>
    <w:rsid w:val="00FE6DDB"/>
    <w:rsid w:val="00FE7F3F"/>
    <w:rsid w:val="00FF0090"/>
    <w:rsid w:val="00FF0857"/>
    <w:rsid w:val="00FF0A5B"/>
    <w:rsid w:val="00FF1535"/>
    <w:rsid w:val="00FF20B4"/>
    <w:rsid w:val="00FF3207"/>
    <w:rsid w:val="00FF33F5"/>
    <w:rsid w:val="00FF3B65"/>
    <w:rsid w:val="00FF3D5D"/>
    <w:rsid w:val="00FF4176"/>
    <w:rsid w:val="00FF55E0"/>
    <w:rsid w:val="00FF6BD0"/>
    <w:rsid w:val="00FF706A"/>
    <w:rsid w:val="01477BCB"/>
    <w:rsid w:val="0165774F"/>
    <w:rsid w:val="017513A9"/>
    <w:rsid w:val="01B11E35"/>
    <w:rsid w:val="01C62B3E"/>
    <w:rsid w:val="028407B3"/>
    <w:rsid w:val="02F2197A"/>
    <w:rsid w:val="032C7750"/>
    <w:rsid w:val="03375244"/>
    <w:rsid w:val="03E62EB1"/>
    <w:rsid w:val="03EC63C9"/>
    <w:rsid w:val="0413149A"/>
    <w:rsid w:val="0422003D"/>
    <w:rsid w:val="042913CB"/>
    <w:rsid w:val="054E19A4"/>
    <w:rsid w:val="05771562"/>
    <w:rsid w:val="05852CF4"/>
    <w:rsid w:val="05927A85"/>
    <w:rsid w:val="060F639F"/>
    <w:rsid w:val="066E7569"/>
    <w:rsid w:val="06B37672"/>
    <w:rsid w:val="07510465"/>
    <w:rsid w:val="078F3BF1"/>
    <w:rsid w:val="080E26A1"/>
    <w:rsid w:val="088C088F"/>
    <w:rsid w:val="08FA493A"/>
    <w:rsid w:val="09C1409A"/>
    <w:rsid w:val="0A743D85"/>
    <w:rsid w:val="0B961C47"/>
    <w:rsid w:val="0BD55F69"/>
    <w:rsid w:val="0BF56037"/>
    <w:rsid w:val="0C152235"/>
    <w:rsid w:val="0C3B6140"/>
    <w:rsid w:val="0CD848B8"/>
    <w:rsid w:val="0D504342"/>
    <w:rsid w:val="0D870F11"/>
    <w:rsid w:val="0DB02216"/>
    <w:rsid w:val="0DC5128C"/>
    <w:rsid w:val="0DD9114E"/>
    <w:rsid w:val="0E0408E9"/>
    <w:rsid w:val="0E1C525D"/>
    <w:rsid w:val="0E260891"/>
    <w:rsid w:val="0E725164"/>
    <w:rsid w:val="0EAF3BDB"/>
    <w:rsid w:val="0EFE4AC2"/>
    <w:rsid w:val="101F37A7"/>
    <w:rsid w:val="10D02C05"/>
    <w:rsid w:val="11252F1A"/>
    <w:rsid w:val="11802A9D"/>
    <w:rsid w:val="11A27ED6"/>
    <w:rsid w:val="11D14F29"/>
    <w:rsid w:val="12525F91"/>
    <w:rsid w:val="12A065D5"/>
    <w:rsid w:val="12B207DE"/>
    <w:rsid w:val="12BB2F1D"/>
    <w:rsid w:val="12C66037"/>
    <w:rsid w:val="12D91221"/>
    <w:rsid w:val="13407938"/>
    <w:rsid w:val="13693592"/>
    <w:rsid w:val="137E6AE5"/>
    <w:rsid w:val="13C366E3"/>
    <w:rsid w:val="13C8099A"/>
    <w:rsid w:val="143F0797"/>
    <w:rsid w:val="1451773B"/>
    <w:rsid w:val="146975C2"/>
    <w:rsid w:val="149418A3"/>
    <w:rsid w:val="14CB202B"/>
    <w:rsid w:val="14CD3A88"/>
    <w:rsid w:val="14EB5FBC"/>
    <w:rsid w:val="15702678"/>
    <w:rsid w:val="15831547"/>
    <w:rsid w:val="159113BF"/>
    <w:rsid w:val="161404C8"/>
    <w:rsid w:val="161A6DC6"/>
    <w:rsid w:val="172A2E7A"/>
    <w:rsid w:val="172C1744"/>
    <w:rsid w:val="17476AD5"/>
    <w:rsid w:val="176651A7"/>
    <w:rsid w:val="17B2302E"/>
    <w:rsid w:val="17B23574"/>
    <w:rsid w:val="18345ABA"/>
    <w:rsid w:val="1851727E"/>
    <w:rsid w:val="186A5405"/>
    <w:rsid w:val="18932E60"/>
    <w:rsid w:val="189645C0"/>
    <w:rsid w:val="18C82B09"/>
    <w:rsid w:val="18DA146E"/>
    <w:rsid w:val="18FB5139"/>
    <w:rsid w:val="192F2B88"/>
    <w:rsid w:val="194B16A1"/>
    <w:rsid w:val="19762565"/>
    <w:rsid w:val="19AF5A77"/>
    <w:rsid w:val="19B74463"/>
    <w:rsid w:val="19BC232B"/>
    <w:rsid w:val="1A4505F1"/>
    <w:rsid w:val="1A7E4FCF"/>
    <w:rsid w:val="1A8211B0"/>
    <w:rsid w:val="1A8A42CA"/>
    <w:rsid w:val="1ABE7FAC"/>
    <w:rsid w:val="1B217338"/>
    <w:rsid w:val="1B3D037C"/>
    <w:rsid w:val="1B4C36BB"/>
    <w:rsid w:val="1B5A5C6B"/>
    <w:rsid w:val="1BAB6C8D"/>
    <w:rsid w:val="1C591711"/>
    <w:rsid w:val="1C6F2165"/>
    <w:rsid w:val="1C7F0946"/>
    <w:rsid w:val="1CBD1967"/>
    <w:rsid w:val="1D0936F0"/>
    <w:rsid w:val="1D126FDD"/>
    <w:rsid w:val="1D2F75FB"/>
    <w:rsid w:val="1D8B05A9"/>
    <w:rsid w:val="1DCA664E"/>
    <w:rsid w:val="1DE56E14"/>
    <w:rsid w:val="1DF12B02"/>
    <w:rsid w:val="1E450182"/>
    <w:rsid w:val="1E5A4EF0"/>
    <w:rsid w:val="1E5D0198"/>
    <w:rsid w:val="1EC446A5"/>
    <w:rsid w:val="1EDA53E2"/>
    <w:rsid w:val="1EE07F7F"/>
    <w:rsid w:val="1F4F72C9"/>
    <w:rsid w:val="1F5327B5"/>
    <w:rsid w:val="1FA977BF"/>
    <w:rsid w:val="1FC3402A"/>
    <w:rsid w:val="1FE94A78"/>
    <w:rsid w:val="20083BF5"/>
    <w:rsid w:val="206E2E3C"/>
    <w:rsid w:val="20C95670"/>
    <w:rsid w:val="20D06740"/>
    <w:rsid w:val="20EF0E4F"/>
    <w:rsid w:val="20FB4104"/>
    <w:rsid w:val="21050673"/>
    <w:rsid w:val="213F215E"/>
    <w:rsid w:val="21493877"/>
    <w:rsid w:val="214F7FD4"/>
    <w:rsid w:val="216D6944"/>
    <w:rsid w:val="21EF2BF7"/>
    <w:rsid w:val="22386288"/>
    <w:rsid w:val="22503C1D"/>
    <w:rsid w:val="226D4721"/>
    <w:rsid w:val="227B3D94"/>
    <w:rsid w:val="227C521C"/>
    <w:rsid w:val="22E23F44"/>
    <w:rsid w:val="234731C4"/>
    <w:rsid w:val="239E5129"/>
    <w:rsid w:val="24400E1F"/>
    <w:rsid w:val="24416B5D"/>
    <w:rsid w:val="247D51DF"/>
    <w:rsid w:val="247E0175"/>
    <w:rsid w:val="248520D7"/>
    <w:rsid w:val="24E03731"/>
    <w:rsid w:val="25335C24"/>
    <w:rsid w:val="25755DC7"/>
    <w:rsid w:val="257A1221"/>
    <w:rsid w:val="258F538D"/>
    <w:rsid w:val="26E0484D"/>
    <w:rsid w:val="27264850"/>
    <w:rsid w:val="27443528"/>
    <w:rsid w:val="27482DA8"/>
    <w:rsid w:val="27595274"/>
    <w:rsid w:val="280B2A12"/>
    <w:rsid w:val="28174256"/>
    <w:rsid w:val="28312E15"/>
    <w:rsid w:val="283C1DD8"/>
    <w:rsid w:val="28D21BF7"/>
    <w:rsid w:val="28E87C1A"/>
    <w:rsid w:val="296F723C"/>
    <w:rsid w:val="2A0C4820"/>
    <w:rsid w:val="2A494F4A"/>
    <w:rsid w:val="2A510C9C"/>
    <w:rsid w:val="2A6C52BE"/>
    <w:rsid w:val="2A805769"/>
    <w:rsid w:val="2ADA11FD"/>
    <w:rsid w:val="2AE03E77"/>
    <w:rsid w:val="2B02634F"/>
    <w:rsid w:val="2B4104F9"/>
    <w:rsid w:val="2BB03D3C"/>
    <w:rsid w:val="2C0734F1"/>
    <w:rsid w:val="2C1D6BD5"/>
    <w:rsid w:val="2C546A99"/>
    <w:rsid w:val="2CA44507"/>
    <w:rsid w:val="2CDC0F6F"/>
    <w:rsid w:val="2CE46631"/>
    <w:rsid w:val="2D3A16A4"/>
    <w:rsid w:val="2D606C10"/>
    <w:rsid w:val="2D6D5C07"/>
    <w:rsid w:val="2D7A3971"/>
    <w:rsid w:val="2EB8264A"/>
    <w:rsid w:val="2F110B7B"/>
    <w:rsid w:val="2F155F21"/>
    <w:rsid w:val="2FA87B82"/>
    <w:rsid w:val="30235B53"/>
    <w:rsid w:val="30E443A9"/>
    <w:rsid w:val="30F85AFE"/>
    <w:rsid w:val="318D11BE"/>
    <w:rsid w:val="31996FDB"/>
    <w:rsid w:val="321D7FAE"/>
    <w:rsid w:val="32383A46"/>
    <w:rsid w:val="3296737C"/>
    <w:rsid w:val="32C00BD6"/>
    <w:rsid w:val="32D84909"/>
    <w:rsid w:val="33305A23"/>
    <w:rsid w:val="33753436"/>
    <w:rsid w:val="337A31A4"/>
    <w:rsid w:val="33842D58"/>
    <w:rsid w:val="33C2377D"/>
    <w:rsid w:val="33E6570C"/>
    <w:rsid w:val="33F14B85"/>
    <w:rsid w:val="34293A3F"/>
    <w:rsid w:val="347035F7"/>
    <w:rsid w:val="348E47AF"/>
    <w:rsid w:val="34DF325D"/>
    <w:rsid w:val="36297FEC"/>
    <w:rsid w:val="364C66D0"/>
    <w:rsid w:val="36566100"/>
    <w:rsid w:val="365F17D9"/>
    <w:rsid w:val="36FA25D0"/>
    <w:rsid w:val="37276106"/>
    <w:rsid w:val="3795459A"/>
    <w:rsid w:val="384C2872"/>
    <w:rsid w:val="3947656F"/>
    <w:rsid w:val="398840B5"/>
    <w:rsid w:val="39A8171C"/>
    <w:rsid w:val="39EA702F"/>
    <w:rsid w:val="3A9A0428"/>
    <w:rsid w:val="3AB234E7"/>
    <w:rsid w:val="3ABA54C6"/>
    <w:rsid w:val="3ABF56FA"/>
    <w:rsid w:val="3B1855C6"/>
    <w:rsid w:val="3B200138"/>
    <w:rsid w:val="3BC57B8F"/>
    <w:rsid w:val="3BCA5316"/>
    <w:rsid w:val="3BE159ED"/>
    <w:rsid w:val="3C1F7ED7"/>
    <w:rsid w:val="3C2B4FD9"/>
    <w:rsid w:val="3C7A15FE"/>
    <w:rsid w:val="3C8B2027"/>
    <w:rsid w:val="3C9C54B2"/>
    <w:rsid w:val="3CB75C8C"/>
    <w:rsid w:val="3CD842BA"/>
    <w:rsid w:val="3CED04E1"/>
    <w:rsid w:val="3CF123AF"/>
    <w:rsid w:val="3D154364"/>
    <w:rsid w:val="3D3922A2"/>
    <w:rsid w:val="3D734A47"/>
    <w:rsid w:val="3D92781D"/>
    <w:rsid w:val="3DE82198"/>
    <w:rsid w:val="3E2D1234"/>
    <w:rsid w:val="3E42660A"/>
    <w:rsid w:val="3E846C23"/>
    <w:rsid w:val="3E884A7C"/>
    <w:rsid w:val="3EA07B02"/>
    <w:rsid w:val="3EAD0CC4"/>
    <w:rsid w:val="3EE649B0"/>
    <w:rsid w:val="3EFE4C27"/>
    <w:rsid w:val="3F3B0C9D"/>
    <w:rsid w:val="3FBB6674"/>
    <w:rsid w:val="3FDD1D9F"/>
    <w:rsid w:val="3FDF4001"/>
    <w:rsid w:val="3FF20EF0"/>
    <w:rsid w:val="3FF81C6C"/>
    <w:rsid w:val="40835A4C"/>
    <w:rsid w:val="409273C5"/>
    <w:rsid w:val="409A272E"/>
    <w:rsid w:val="40AC57AD"/>
    <w:rsid w:val="40C95B0C"/>
    <w:rsid w:val="40DA0D7C"/>
    <w:rsid w:val="40E02836"/>
    <w:rsid w:val="4116259D"/>
    <w:rsid w:val="41724CF5"/>
    <w:rsid w:val="428F404E"/>
    <w:rsid w:val="42BC2E2F"/>
    <w:rsid w:val="42C86C2C"/>
    <w:rsid w:val="43422FC4"/>
    <w:rsid w:val="434B5F61"/>
    <w:rsid w:val="43D340A8"/>
    <w:rsid w:val="4419461A"/>
    <w:rsid w:val="448D5F45"/>
    <w:rsid w:val="45092B28"/>
    <w:rsid w:val="451166B5"/>
    <w:rsid w:val="45325A24"/>
    <w:rsid w:val="45970786"/>
    <w:rsid w:val="45A35BE1"/>
    <w:rsid w:val="45BE0526"/>
    <w:rsid w:val="45CC091B"/>
    <w:rsid w:val="45E76415"/>
    <w:rsid w:val="463D6035"/>
    <w:rsid w:val="46521F1E"/>
    <w:rsid w:val="46D5554A"/>
    <w:rsid w:val="46E850EA"/>
    <w:rsid w:val="46F94504"/>
    <w:rsid w:val="471A6376"/>
    <w:rsid w:val="476F2186"/>
    <w:rsid w:val="47C83729"/>
    <w:rsid w:val="47F807CD"/>
    <w:rsid w:val="48590EF7"/>
    <w:rsid w:val="48620222"/>
    <w:rsid w:val="48952302"/>
    <w:rsid w:val="48B06C95"/>
    <w:rsid w:val="48BD16AF"/>
    <w:rsid w:val="490C7D41"/>
    <w:rsid w:val="495649FA"/>
    <w:rsid w:val="4A204B14"/>
    <w:rsid w:val="4A69067C"/>
    <w:rsid w:val="4AB40015"/>
    <w:rsid w:val="4AE31F58"/>
    <w:rsid w:val="4B054C48"/>
    <w:rsid w:val="4B0D3348"/>
    <w:rsid w:val="4B265EDC"/>
    <w:rsid w:val="4B31189E"/>
    <w:rsid w:val="4B406CC7"/>
    <w:rsid w:val="4B7A6CA8"/>
    <w:rsid w:val="4BA426B2"/>
    <w:rsid w:val="4D4C4DB0"/>
    <w:rsid w:val="4D690508"/>
    <w:rsid w:val="4D97427D"/>
    <w:rsid w:val="4DB43081"/>
    <w:rsid w:val="4DB52828"/>
    <w:rsid w:val="4DFB054F"/>
    <w:rsid w:val="4E21448E"/>
    <w:rsid w:val="4E3221F7"/>
    <w:rsid w:val="4EA40E15"/>
    <w:rsid w:val="4EB42B50"/>
    <w:rsid w:val="4EC90CCF"/>
    <w:rsid w:val="4EE014EC"/>
    <w:rsid w:val="4EEA5B05"/>
    <w:rsid w:val="4F2B6026"/>
    <w:rsid w:val="4F4A7C2E"/>
    <w:rsid w:val="4F6C1739"/>
    <w:rsid w:val="4FAA3D56"/>
    <w:rsid w:val="50772144"/>
    <w:rsid w:val="509A7021"/>
    <w:rsid w:val="50A63F9F"/>
    <w:rsid w:val="50FF32D2"/>
    <w:rsid w:val="51044A52"/>
    <w:rsid w:val="510B4369"/>
    <w:rsid w:val="510F6820"/>
    <w:rsid w:val="51424ECF"/>
    <w:rsid w:val="51550EA9"/>
    <w:rsid w:val="517E39D7"/>
    <w:rsid w:val="519A542A"/>
    <w:rsid w:val="51CB6BEB"/>
    <w:rsid w:val="51CD4715"/>
    <w:rsid w:val="52016BD2"/>
    <w:rsid w:val="52603BA0"/>
    <w:rsid w:val="52CC2C1B"/>
    <w:rsid w:val="52D47D21"/>
    <w:rsid w:val="537230CA"/>
    <w:rsid w:val="53D6609D"/>
    <w:rsid w:val="53FC6ACE"/>
    <w:rsid w:val="54147B52"/>
    <w:rsid w:val="541816F7"/>
    <w:rsid w:val="54660E4D"/>
    <w:rsid w:val="5484665D"/>
    <w:rsid w:val="54D2678C"/>
    <w:rsid w:val="558D5808"/>
    <w:rsid w:val="55961626"/>
    <w:rsid w:val="55D64F00"/>
    <w:rsid w:val="564D060A"/>
    <w:rsid w:val="56BC5F12"/>
    <w:rsid w:val="56D95720"/>
    <w:rsid w:val="575A2A2C"/>
    <w:rsid w:val="575C1CC8"/>
    <w:rsid w:val="5780763F"/>
    <w:rsid w:val="57C12FCE"/>
    <w:rsid w:val="586A6BDB"/>
    <w:rsid w:val="586D2BCD"/>
    <w:rsid w:val="58A957AC"/>
    <w:rsid w:val="595B4CF8"/>
    <w:rsid w:val="596811C3"/>
    <w:rsid w:val="59A2740C"/>
    <w:rsid w:val="59B75A38"/>
    <w:rsid w:val="5A160809"/>
    <w:rsid w:val="5B532315"/>
    <w:rsid w:val="5C3145EB"/>
    <w:rsid w:val="5C3A0138"/>
    <w:rsid w:val="5C673325"/>
    <w:rsid w:val="5C757E7F"/>
    <w:rsid w:val="5D783CDA"/>
    <w:rsid w:val="5E67546A"/>
    <w:rsid w:val="5EC84A00"/>
    <w:rsid w:val="5F0A6F31"/>
    <w:rsid w:val="5F2658AB"/>
    <w:rsid w:val="5F414A6C"/>
    <w:rsid w:val="5FC4513D"/>
    <w:rsid w:val="5FC51DA0"/>
    <w:rsid w:val="60001041"/>
    <w:rsid w:val="6080745F"/>
    <w:rsid w:val="60CC2050"/>
    <w:rsid w:val="6131633F"/>
    <w:rsid w:val="62982F8C"/>
    <w:rsid w:val="62EF64B1"/>
    <w:rsid w:val="62F7618C"/>
    <w:rsid w:val="63AD56B0"/>
    <w:rsid w:val="63DF4596"/>
    <w:rsid w:val="63F14444"/>
    <w:rsid w:val="642F4DB7"/>
    <w:rsid w:val="644B5969"/>
    <w:rsid w:val="64AA756E"/>
    <w:rsid w:val="64AC28AC"/>
    <w:rsid w:val="64D43BB1"/>
    <w:rsid w:val="64DD0CB7"/>
    <w:rsid w:val="65384127"/>
    <w:rsid w:val="65926EDA"/>
    <w:rsid w:val="65AA7225"/>
    <w:rsid w:val="664A6DB3"/>
    <w:rsid w:val="667446D6"/>
    <w:rsid w:val="67661BC6"/>
    <w:rsid w:val="67A7735B"/>
    <w:rsid w:val="67D00C10"/>
    <w:rsid w:val="68021003"/>
    <w:rsid w:val="68024095"/>
    <w:rsid w:val="68137D28"/>
    <w:rsid w:val="6864090D"/>
    <w:rsid w:val="6894038E"/>
    <w:rsid w:val="68E819D9"/>
    <w:rsid w:val="6902539D"/>
    <w:rsid w:val="692D1AE1"/>
    <w:rsid w:val="696B5AAF"/>
    <w:rsid w:val="698F4691"/>
    <w:rsid w:val="69903460"/>
    <w:rsid w:val="699851AD"/>
    <w:rsid w:val="69B67D29"/>
    <w:rsid w:val="6AF02DC7"/>
    <w:rsid w:val="6B601D2D"/>
    <w:rsid w:val="6C1B20C5"/>
    <w:rsid w:val="6C3311BD"/>
    <w:rsid w:val="6C717FC7"/>
    <w:rsid w:val="6D0A10DE"/>
    <w:rsid w:val="6D4E6DD0"/>
    <w:rsid w:val="6DA50B01"/>
    <w:rsid w:val="6DD100F1"/>
    <w:rsid w:val="6E2A65EF"/>
    <w:rsid w:val="6E7354E8"/>
    <w:rsid w:val="6EA66D41"/>
    <w:rsid w:val="6EAF241C"/>
    <w:rsid w:val="6F3A26E8"/>
    <w:rsid w:val="6F881EDF"/>
    <w:rsid w:val="6F8A5598"/>
    <w:rsid w:val="6FC025F4"/>
    <w:rsid w:val="702E686B"/>
    <w:rsid w:val="706F0D4A"/>
    <w:rsid w:val="70981225"/>
    <w:rsid w:val="70BE7462"/>
    <w:rsid w:val="713A5D2D"/>
    <w:rsid w:val="71937888"/>
    <w:rsid w:val="719E4CA8"/>
    <w:rsid w:val="725B4129"/>
    <w:rsid w:val="733221CE"/>
    <w:rsid w:val="73491262"/>
    <w:rsid w:val="7366378E"/>
    <w:rsid w:val="73DA2024"/>
    <w:rsid w:val="74445654"/>
    <w:rsid w:val="74461453"/>
    <w:rsid w:val="74BF306B"/>
    <w:rsid w:val="752821B9"/>
    <w:rsid w:val="752D5343"/>
    <w:rsid w:val="75457105"/>
    <w:rsid w:val="75846F2D"/>
    <w:rsid w:val="75C60B79"/>
    <w:rsid w:val="75CF60A7"/>
    <w:rsid w:val="76216828"/>
    <w:rsid w:val="76AD3FF9"/>
    <w:rsid w:val="76D252C8"/>
    <w:rsid w:val="76FA2A99"/>
    <w:rsid w:val="7771546F"/>
    <w:rsid w:val="777D4BE9"/>
    <w:rsid w:val="779A3579"/>
    <w:rsid w:val="77D10621"/>
    <w:rsid w:val="78092C74"/>
    <w:rsid w:val="78F540FB"/>
    <w:rsid w:val="794C1B10"/>
    <w:rsid w:val="795F350D"/>
    <w:rsid w:val="7973709D"/>
    <w:rsid w:val="79866C7A"/>
    <w:rsid w:val="79895EAC"/>
    <w:rsid w:val="799236E7"/>
    <w:rsid w:val="79993AD1"/>
    <w:rsid w:val="79BC7FBE"/>
    <w:rsid w:val="7A04260F"/>
    <w:rsid w:val="7AA428F7"/>
    <w:rsid w:val="7AE646BB"/>
    <w:rsid w:val="7C1525C8"/>
    <w:rsid w:val="7C8F68E3"/>
    <w:rsid w:val="7CA227A5"/>
    <w:rsid w:val="7CE379F2"/>
    <w:rsid w:val="7CF92B0D"/>
    <w:rsid w:val="7D155246"/>
    <w:rsid w:val="7D2B0B2C"/>
    <w:rsid w:val="7D652500"/>
    <w:rsid w:val="7D68356F"/>
    <w:rsid w:val="7DBA31B2"/>
    <w:rsid w:val="7DC2406E"/>
    <w:rsid w:val="7E2911F2"/>
    <w:rsid w:val="7E4A191D"/>
    <w:rsid w:val="7E4B67C3"/>
    <w:rsid w:val="7ED56104"/>
    <w:rsid w:val="7EEF18BB"/>
    <w:rsid w:val="7F295485"/>
    <w:rsid w:val="7FE54D11"/>
    <w:rsid w:val="7FFD0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qFormat="1" w:unhideWhenUsed="0" w:uiPriority="9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7"/>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48"/>
    <w:autoRedefine/>
    <w:qFormat/>
    <w:uiPriority w:val="0"/>
    <w:pPr>
      <w:keepNext/>
      <w:keepLines/>
      <w:spacing w:before="260" w:after="260" w:line="416" w:lineRule="auto"/>
      <w:outlineLvl w:val="2"/>
    </w:pPr>
    <w:rPr>
      <w:b/>
      <w:bCs/>
      <w:kern w:val="0"/>
      <w:sz w:val="32"/>
      <w:szCs w:val="32"/>
    </w:rPr>
  </w:style>
  <w:style w:type="paragraph" w:styleId="2">
    <w:name w:val="heading 4"/>
    <w:basedOn w:val="1"/>
    <w:next w:val="1"/>
    <w:link w:val="45"/>
    <w:autoRedefine/>
    <w:qFormat/>
    <w:uiPriority w:val="0"/>
    <w:pPr>
      <w:keepNext/>
      <w:jc w:val="center"/>
      <w:outlineLvl w:val="3"/>
    </w:pPr>
    <w:rPr>
      <w:rFonts w:eastAsia="新宋体"/>
      <w:kern w:val="0"/>
      <w:sz w:val="30"/>
      <w:szCs w:val="21"/>
    </w:rPr>
  </w:style>
  <w:style w:type="paragraph" w:styleId="6">
    <w:name w:val="heading 5"/>
    <w:basedOn w:val="1"/>
    <w:next w:val="1"/>
    <w:link w:val="49"/>
    <w:autoRedefine/>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50"/>
    <w:autoRedefine/>
    <w:qFormat/>
    <w:uiPriority w:val="0"/>
    <w:pPr>
      <w:keepNext/>
      <w:jc w:val="center"/>
      <w:outlineLvl w:val="5"/>
    </w:pPr>
    <w:rPr>
      <w:b/>
      <w:kern w:val="0"/>
      <w:sz w:val="44"/>
      <w:szCs w:val="20"/>
    </w:rPr>
  </w:style>
  <w:style w:type="paragraph" w:styleId="8">
    <w:name w:val="heading 7"/>
    <w:basedOn w:val="1"/>
    <w:next w:val="1"/>
    <w:link w:val="51"/>
    <w:autoRedefine/>
    <w:qFormat/>
    <w:uiPriority w:val="0"/>
    <w:pPr>
      <w:keepNext/>
      <w:keepLines/>
      <w:spacing w:before="240" w:after="64" w:line="320" w:lineRule="auto"/>
      <w:outlineLvl w:val="6"/>
    </w:pPr>
    <w:rPr>
      <w:b/>
      <w:bCs/>
      <w:kern w:val="0"/>
      <w:sz w:val="24"/>
    </w:rPr>
  </w:style>
  <w:style w:type="paragraph" w:styleId="9">
    <w:name w:val="heading 8"/>
    <w:basedOn w:val="1"/>
    <w:next w:val="1"/>
    <w:link w:val="52"/>
    <w:autoRedefine/>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53"/>
    <w:autoRedefine/>
    <w:qFormat/>
    <w:uiPriority w:val="0"/>
    <w:pPr>
      <w:keepNext/>
      <w:keepLines/>
      <w:spacing w:before="240" w:after="64" w:line="320" w:lineRule="auto"/>
      <w:outlineLvl w:val="8"/>
    </w:pPr>
    <w:rPr>
      <w:rFonts w:ascii="Arial" w:hAnsi="Arial" w:eastAsia="黑体"/>
      <w:kern w:val="0"/>
      <w:sz w:val="24"/>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semiHidden/>
    <w:qFormat/>
    <w:uiPriority w:val="99"/>
    <w:pPr>
      <w:ind w:left="1260"/>
      <w:jc w:val="left"/>
    </w:pPr>
  </w:style>
  <w:style w:type="paragraph" w:styleId="12">
    <w:name w:val="Note Heading"/>
    <w:basedOn w:val="1"/>
    <w:next w:val="1"/>
    <w:autoRedefine/>
    <w:qFormat/>
    <w:uiPriority w:val="0"/>
    <w:rPr>
      <w:rFonts w:ascii="Verdana" w:hAnsi="Verdana"/>
      <w:szCs w:val="20"/>
    </w:rPr>
  </w:style>
  <w:style w:type="paragraph" w:styleId="13">
    <w:name w:val="Normal Indent"/>
    <w:basedOn w:val="1"/>
    <w:link w:val="54"/>
    <w:autoRedefine/>
    <w:qFormat/>
    <w:uiPriority w:val="0"/>
    <w:pPr>
      <w:ind w:firstLine="420"/>
    </w:pPr>
    <w:rPr>
      <w:kern w:val="0"/>
      <w:sz w:val="20"/>
      <w:szCs w:val="20"/>
    </w:rPr>
  </w:style>
  <w:style w:type="paragraph" w:styleId="14">
    <w:name w:val="Document Map"/>
    <w:basedOn w:val="1"/>
    <w:link w:val="55"/>
    <w:autoRedefine/>
    <w:semiHidden/>
    <w:qFormat/>
    <w:uiPriority w:val="0"/>
    <w:pPr>
      <w:shd w:val="clear" w:color="auto" w:fill="000080"/>
    </w:pPr>
    <w:rPr>
      <w:kern w:val="0"/>
      <w:sz w:val="20"/>
    </w:rPr>
  </w:style>
  <w:style w:type="paragraph" w:styleId="15">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6">
    <w:name w:val="annotation text"/>
    <w:basedOn w:val="1"/>
    <w:link w:val="56"/>
    <w:autoRedefine/>
    <w:unhideWhenUsed/>
    <w:qFormat/>
    <w:uiPriority w:val="99"/>
    <w:pPr>
      <w:jc w:val="left"/>
    </w:pPr>
  </w:style>
  <w:style w:type="paragraph" w:styleId="17">
    <w:name w:val="Body Text 3"/>
    <w:basedOn w:val="1"/>
    <w:link w:val="57"/>
    <w:autoRedefine/>
    <w:qFormat/>
    <w:uiPriority w:val="0"/>
    <w:pPr>
      <w:spacing w:after="120"/>
    </w:pPr>
    <w:rPr>
      <w:kern w:val="0"/>
      <w:sz w:val="16"/>
      <w:szCs w:val="16"/>
    </w:rPr>
  </w:style>
  <w:style w:type="paragraph" w:styleId="18">
    <w:name w:val="Body Text"/>
    <w:basedOn w:val="1"/>
    <w:link w:val="58"/>
    <w:autoRedefine/>
    <w:qFormat/>
    <w:uiPriority w:val="0"/>
    <w:rPr>
      <w:rFonts w:ascii="仿宋_GB2312" w:eastAsia="仿宋_GB2312"/>
      <w:kern w:val="0"/>
      <w:sz w:val="24"/>
      <w:szCs w:val="20"/>
    </w:rPr>
  </w:style>
  <w:style w:type="paragraph" w:styleId="19">
    <w:name w:val="Body Text Indent"/>
    <w:basedOn w:val="1"/>
    <w:next w:val="20"/>
    <w:link w:val="59"/>
    <w:autoRedefine/>
    <w:qFormat/>
    <w:uiPriority w:val="0"/>
    <w:pPr>
      <w:ind w:left="765"/>
    </w:pPr>
    <w:rPr>
      <w:rFonts w:ascii="仿宋_GB2312" w:eastAsia="仿宋_GB2312"/>
      <w:kern w:val="0"/>
      <w:sz w:val="28"/>
      <w:szCs w:val="20"/>
    </w:rPr>
  </w:style>
  <w:style w:type="paragraph" w:styleId="20">
    <w:name w:val="envelope return"/>
    <w:basedOn w:val="1"/>
    <w:autoRedefine/>
    <w:unhideWhenUsed/>
    <w:qFormat/>
    <w:uiPriority w:val="99"/>
    <w:pPr>
      <w:snapToGrid w:val="0"/>
    </w:pPr>
    <w:rPr>
      <w:rFonts w:ascii="Arial" w:hAnsi="Arial"/>
    </w:rPr>
  </w:style>
  <w:style w:type="paragraph" w:styleId="21">
    <w:name w:val="Block Text"/>
    <w:basedOn w:val="1"/>
    <w:next w:val="18"/>
    <w:autoRedefine/>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22">
    <w:name w:val="Plain Text"/>
    <w:basedOn w:val="1"/>
    <w:link w:val="60"/>
    <w:autoRedefine/>
    <w:qFormat/>
    <w:uiPriority w:val="0"/>
    <w:rPr>
      <w:rFonts w:ascii="宋体" w:hAnsi="Courier New"/>
      <w:kern w:val="0"/>
      <w:sz w:val="20"/>
      <w:szCs w:val="21"/>
    </w:rPr>
  </w:style>
  <w:style w:type="paragraph" w:styleId="23">
    <w:name w:val="Date"/>
    <w:basedOn w:val="1"/>
    <w:next w:val="1"/>
    <w:link w:val="61"/>
    <w:autoRedefine/>
    <w:qFormat/>
    <w:uiPriority w:val="0"/>
    <w:rPr>
      <w:kern w:val="0"/>
      <w:sz w:val="24"/>
      <w:szCs w:val="20"/>
    </w:rPr>
  </w:style>
  <w:style w:type="paragraph" w:styleId="24">
    <w:name w:val="Body Text Indent 2"/>
    <w:basedOn w:val="1"/>
    <w:link w:val="62"/>
    <w:autoRedefine/>
    <w:qFormat/>
    <w:uiPriority w:val="0"/>
    <w:pPr>
      <w:spacing w:line="500" w:lineRule="exact"/>
      <w:ind w:firstLine="560" w:firstLineChars="200"/>
    </w:pPr>
    <w:rPr>
      <w:rFonts w:eastAsia="仿宋_GB2312"/>
      <w:kern w:val="0"/>
      <w:sz w:val="28"/>
      <w:szCs w:val="20"/>
    </w:rPr>
  </w:style>
  <w:style w:type="paragraph" w:styleId="25">
    <w:name w:val="Balloon Text"/>
    <w:basedOn w:val="1"/>
    <w:link w:val="63"/>
    <w:autoRedefine/>
    <w:semiHidden/>
    <w:qFormat/>
    <w:uiPriority w:val="0"/>
    <w:rPr>
      <w:kern w:val="0"/>
      <w:sz w:val="18"/>
      <w:szCs w:val="18"/>
    </w:rPr>
  </w:style>
  <w:style w:type="paragraph" w:styleId="26">
    <w:name w:val="footer"/>
    <w:basedOn w:val="1"/>
    <w:link w:val="64"/>
    <w:autoRedefine/>
    <w:qFormat/>
    <w:uiPriority w:val="99"/>
    <w:pPr>
      <w:tabs>
        <w:tab w:val="center" w:pos="4153"/>
        <w:tab w:val="right" w:pos="8306"/>
      </w:tabs>
      <w:snapToGrid w:val="0"/>
      <w:jc w:val="left"/>
    </w:pPr>
    <w:rPr>
      <w:kern w:val="0"/>
      <w:sz w:val="18"/>
      <w:szCs w:val="20"/>
    </w:rPr>
  </w:style>
  <w:style w:type="paragraph" w:styleId="27">
    <w:name w:val="header"/>
    <w:basedOn w:val="1"/>
    <w:link w:val="65"/>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autoRedefine/>
    <w:semiHidden/>
    <w:qFormat/>
    <w:uiPriority w:val="0"/>
    <w:rPr>
      <w:sz w:val="24"/>
    </w:rPr>
  </w:style>
  <w:style w:type="paragraph" w:styleId="29">
    <w:name w:val="List"/>
    <w:basedOn w:val="1"/>
    <w:autoRedefine/>
    <w:qFormat/>
    <w:uiPriority w:val="0"/>
    <w:pPr>
      <w:ind w:left="200" w:hanging="200" w:hangingChars="200"/>
    </w:pPr>
  </w:style>
  <w:style w:type="paragraph" w:styleId="30">
    <w:name w:val="Body Text Indent 3"/>
    <w:basedOn w:val="1"/>
    <w:next w:val="15"/>
    <w:link w:val="66"/>
    <w:autoRedefine/>
    <w:qFormat/>
    <w:uiPriority w:val="0"/>
    <w:pPr>
      <w:spacing w:after="120"/>
      <w:ind w:left="420" w:leftChars="200"/>
    </w:pPr>
    <w:rPr>
      <w:kern w:val="0"/>
      <w:sz w:val="16"/>
      <w:szCs w:val="16"/>
    </w:rPr>
  </w:style>
  <w:style w:type="paragraph" w:styleId="31">
    <w:name w:val="Body Text 2"/>
    <w:basedOn w:val="1"/>
    <w:link w:val="67"/>
    <w:autoRedefine/>
    <w:qFormat/>
    <w:uiPriority w:val="0"/>
    <w:pPr>
      <w:snapToGrid w:val="0"/>
    </w:pPr>
    <w:rPr>
      <w:b/>
      <w:bCs/>
      <w:kern w:val="0"/>
      <w:sz w:val="18"/>
    </w:rPr>
  </w:style>
  <w:style w:type="paragraph" w:styleId="32">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33">
    <w:name w:val="annotation subject"/>
    <w:basedOn w:val="16"/>
    <w:next w:val="16"/>
    <w:link w:val="68"/>
    <w:autoRedefine/>
    <w:unhideWhenUsed/>
    <w:qFormat/>
    <w:uiPriority w:val="99"/>
    <w:rPr>
      <w:b/>
      <w:bCs/>
    </w:rPr>
  </w:style>
  <w:style w:type="paragraph" w:styleId="34">
    <w:name w:val="Body Text First Indent"/>
    <w:basedOn w:val="18"/>
    <w:next w:val="35"/>
    <w:link w:val="69"/>
    <w:autoRedefine/>
    <w:qFormat/>
    <w:uiPriority w:val="0"/>
    <w:pPr>
      <w:spacing w:after="120"/>
      <w:ind w:firstLine="420" w:firstLineChars="100"/>
    </w:pPr>
    <w:rPr>
      <w:rFonts w:ascii="Times New Roman" w:eastAsia="宋体"/>
      <w:szCs w:val="24"/>
    </w:rPr>
  </w:style>
  <w:style w:type="paragraph" w:styleId="35">
    <w:name w:val="Body Text First Indent 2"/>
    <w:basedOn w:val="19"/>
    <w:autoRedefine/>
    <w:unhideWhenUsed/>
    <w:qFormat/>
    <w:uiPriority w:val="99"/>
    <w:pPr>
      <w:ind w:firstLine="200" w:firstLineChars="200"/>
    </w:pPr>
  </w:style>
  <w:style w:type="table" w:styleId="37">
    <w:name w:val="Table Grid"/>
    <w:basedOn w:val="3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autoRedefine/>
    <w:qFormat/>
    <w:uiPriority w:val="0"/>
    <w:rPr>
      <w:b/>
      <w:bCs/>
    </w:rPr>
  </w:style>
  <w:style w:type="character" w:styleId="40">
    <w:name w:val="page number"/>
    <w:autoRedefine/>
    <w:qFormat/>
    <w:uiPriority w:val="0"/>
  </w:style>
  <w:style w:type="character" w:styleId="41">
    <w:name w:val="FollowedHyperlink"/>
    <w:autoRedefine/>
    <w:qFormat/>
    <w:uiPriority w:val="0"/>
    <w:rPr>
      <w:color w:val="800080"/>
      <w:u w:val="single"/>
    </w:rPr>
  </w:style>
  <w:style w:type="character" w:styleId="42">
    <w:name w:val="Hyperlink"/>
    <w:autoRedefine/>
    <w:qFormat/>
    <w:uiPriority w:val="0"/>
    <w:rPr>
      <w:color w:val="0000FF"/>
      <w:u w:val="single"/>
    </w:rPr>
  </w:style>
  <w:style w:type="character" w:styleId="43">
    <w:name w:val="annotation reference"/>
    <w:autoRedefine/>
    <w:unhideWhenUsed/>
    <w:qFormat/>
    <w:uiPriority w:val="99"/>
    <w:rPr>
      <w:sz w:val="21"/>
      <w:szCs w:val="21"/>
    </w:rPr>
  </w:style>
  <w:style w:type="paragraph" w:customStyle="1" w:styleId="44">
    <w:name w:val="列出段落1"/>
    <w:basedOn w:val="1"/>
    <w:autoRedefine/>
    <w:qFormat/>
    <w:uiPriority w:val="34"/>
    <w:pPr>
      <w:widowControl/>
      <w:ind w:left="720"/>
      <w:contextualSpacing/>
      <w:jc w:val="left"/>
    </w:pPr>
    <w:rPr>
      <w:kern w:val="0"/>
      <w:sz w:val="24"/>
      <w:lang w:eastAsia="en-US" w:bidi="en-US"/>
    </w:rPr>
  </w:style>
  <w:style w:type="character" w:customStyle="1" w:styleId="45">
    <w:name w:val="标题 4 字符"/>
    <w:link w:val="2"/>
    <w:autoRedefine/>
    <w:qFormat/>
    <w:uiPriority w:val="0"/>
    <w:rPr>
      <w:rFonts w:ascii="Times New Roman" w:hAnsi="Times New Roman" w:eastAsia="新宋体" w:cs="Times New Roman"/>
      <w:sz w:val="30"/>
      <w:szCs w:val="21"/>
    </w:rPr>
  </w:style>
  <w:style w:type="character" w:customStyle="1" w:styleId="46">
    <w:name w:val="标题 1 字符"/>
    <w:link w:val="3"/>
    <w:autoRedefine/>
    <w:qFormat/>
    <w:uiPriority w:val="0"/>
    <w:rPr>
      <w:rFonts w:ascii="Times New Roman" w:hAnsi="Times New Roman" w:eastAsia="宋体" w:cs="Times New Roman"/>
      <w:b/>
      <w:bCs/>
      <w:kern w:val="44"/>
      <w:sz w:val="44"/>
      <w:szCs w:val="44"/>
    </w:rPr>
  </w:style>
  <w:style w:type="character" w:customStyle="1" w:styleId="47">
    <w:name w:val="标题 2 字符"/>
    <w:link w:val="4"/>
    <w:autoRedefine/>
    <w:qFormat/>
    <w:uiPriority w:val="0"/>
    <w:rPr>
      <w:rFonts w:ascii="Arial" w:hAnsi="Arial" w:eastAsia="黑体" w:cs="Times New Roman"/>
      <w:b/>
      <w:bCs/>
      <w:sz w:val="32"/>
      <w:szCs w:val="32"/>
    </w:rPr>
  </w:style>
  <w:style w:type="character" w:customStyle="1" w:styleId="48">
    <w:name w:val="标题 3 字符"/>
    <w:link w:val="5"/>
    <w:autoRedefine/>
    <w:qFormat/>
    <w:uiPriority w:val="0"/>
    <w:rPr>
      <w:rFonts w:ascii="Times New Roman" w:hAnsi="Times New Roman" w:eastAsia="宋体" w:cs="Times New Roman"/>
      <w:b/>
      <w:bCs/>
      <w:sz w:val="32"/>
      <w:szCs w:val="32"/>
    </w:rPr>
  </w:style>
  <w:style w:type="character" w:customStyle="1" w:styleId="49">
    <w:name w:val="标题 5 字符"/>
    <w:link w:val="6"/>
    <w:autoRedefine/>
    <w:qFormat/>
    <w:uiPriority w:val="0"/>
    <w:rPr>
      <w:rFonts w:ascii="Times New Roman" w:hAnsi="Times New Roman" w:eastAsia="宋体" w:cs="Times New Roman"/>
      <w:b/>
      <w:bCs/>
      <w:sz w:val="28"/>
      <w:szCs w:val="28"/>
    </w:rPr>
  </w:style>
  <w:style w:type="character" w:customStyle="1" w:styleId="50">
    <w:name w:val="标题 6 字符"/>
    <w:link w:val="7"/>
    <w:autoRedefine/>
    <w:qFormat/>
    <w:uiPriority w:val="0"/>
    <w:rPr>
      <w:rFonts w:ascii="Times New Roman" w:hAnsi="Times New Roman" w:eastAsia="宋体" w:cs="Times New Roman"/>
      <w:b/>
      <w:sz w:val="44"/>
      <w:szCs w:val="20"/>
    </w:rPr>
  </w:style>
  <w:style w:type="character" w:customStyle="1" w:styleId="51">
    <w:name w:val="标题 7 字符"/>
    <w:link w:val="8"/>
    <w:autoRedefine/>
    <w:qFormat/>
    <w:uiPriority w:val="0"/>
    <w:rPr>
      <w:rFonts w:ascii="Times New Roman" w:hAnsi="Times New Roman" w:eastAsia="宋体" w:cs="Times New Roman"/>
      <w:b/>
      <w:bCs/>
      <w:sz w:val="24"/>
      <w:szCs w:val="24"/>
    </w:rPr>
  </w:style>
  <w:style w:type="character" w:customStyle="1" w:styleId="52">
    <w:name w:val="标题 8 字符"/>
    <w:link w:val="9"/>
    <w:autoRedefine/>
    <w:qFormat/>
    <w:uiPriority w:val="0"/>
    <w:rPr>
      <w:rFonts w:ascii="Arial" w:hAnsi="Arial" w:eastAsia="黑体" w:cs="Times New Roman"/>
      <w:sz w:val="24"/>
      <w:szCs w:val="24"/>
    </w:rPr>
  </w:style>
  <w:style w:type="character" w:customStyle="1" w:styleId="53">
    <w:name w:val="标题 9 字符"/>
    <w:link w:val="10"/>
    <w:autoRedefine/>
    <w:qFormat/>
    <w:uiPriority w:val="0"/>
    <w:rPr>
      <w:rFonts w:ascii="Arial" w:hAnsi="Arial" w:eastAsia="黑体" w:cs="Times New Roman"/>
      <w:sz w:val="24"/>
      <w:szCs w:val="21"/>
    </w:rPr>
  </w:style>
  <w:style w:type="character" w:customStyle="1" w:styleId="54">
    <w:name w:val="正文缩进 字符"/>
    <w:link w:val="13"/>
    <w:autoRedefine/>
    <w:qFormat/>
    <w:uiPriority w:val="0"/>
    <w:rPr>
      <w:rFonts w:ascii="Times New Roman" w:hAnsi="Times New Roman" w:eastAsia="宋体" w:cs="Times New Roman"/>
      <w:kern w:val="0"/>
      <w:sz w:val="20"/>
      <w:szCs w:val="20"/>
    </w:rPr>
  </w:style>
  <w:style w:type="character" w:customStyle="1" w:styleId="55">
    <w:name w:val="文档结构图 字符"/>
    <w:link w:val="14"/>
    <w:autoRedefine/>
    <w:semiHidden/>
    <w:qFormat/>
    <w:uiPriority w:val="0"/>
    <w:rPr>
      <w:szCs w:val="24"/>
      <w:shd w:val="clear" w:color="auto" w:fill="000080"/>
    </w:rPr>
  </w:style>
  <w:style w:type="character" w:customStyle="1" w:styleId="56">
    <w:name w:val="批注文字 字符"/>
    <w:link w:val="16"/>
    <w:autoRedefine/>
    <w:qFormat/>
    <w:uiPriority w:val="99"/>
    <w:rPr>
      <w:kern w:val="2"/>
      <w:sz w:val="21"/>
      <w:szCs w:val="24"/>
    </w:rPr>
  </w:style>
  <w:style w:type="character" w:customStyle="1" w:styleId="57">
    <w:name w:val="正文文本 3 字符"/>
    <w:link w:val="17"/>
    <w:autoRedefine/>
    <w:qFormat/>
    <w:uiPriority w:val="0"/>
    <w:rPr>
      <w:rFonts w:ascii="Times New Roman" w:hAnsi="Times New Roman" w:eastAsia="宋体" w:cs="Times New Roman"/>
      <w:sz w:val="16"/>
      <w:szCs w:val="16"/>
    </w:rPr>
  </w:style>
  <w:style w:type="character" w:customStyle="1" w:styleId="58">
    <w:name w:val="正文文本 字符"/>
    <w:link w:val="18"/>
    <w:autoRedefine/>
    <w:qFormat/>
    <w:uiPriority w:val="0"/>
    <w:rPr>
      <w:rFonts w:ascii="仿宋_GB2312" w:hAnsi="Times New Roman" w:eastAsia="仿宋_GB2312" w:cs="Times New Roman"/>
      <w:sz w:val="24"/>
      <w:szCs w:val="20"/>
    </w:rPr>
  </w:style>
  <w:style w:type="character" w:customStyle="1" w:styleId="59">
    <w:name w:val="正文文本缩进 字符"/>
    <w:link w:val="19"/>
    <w:autoRedefine/>
    <w:qFormat/>
    <w:uiPriority w:val="0"/>
    <w:rPr>
      <w:rFonts w:ascii="仿宋_GB2312" w:hAnsi="Times New Roman" w:eastAsia="仿宋_GB2312" w:cs="Times New Roman"/>
      <w:sz w:val="28"/>
      <w:szCs w:val="20"/>
    </w:rPr>
  </w:style>
  <w:style w:type="character" w:customStyle="1" w:styleId="60">
    <w:name w:val="纯文本 字符"/>
    <w:link w:val="22"/>
    <w:autoRedefine/>
    <w:qFormat/>
    <w:uiPriority w:val="0"/>
    <w:rPr>
      <w:rFonts w:ascii="宋体" w:hAnsi="Courier New" w:eastAsia="宋体" w:cs="Courier New"/>
      <w:szCs w:val="21"/>
    </w:rPr>
  </w:style>
  <w:style w:type="character" w:customStyle="1" w:styleId="61">
    <w:name w:val="日期 字符"/>
    <w:link w:val="23"/>
    <w:autoRedefine/>
    <w:qFormat/>
    <w:uiPriority w:val="0"/>
    <w:rPr>
      <w:rFonts w:ascii="Times New Roman" w:hAnsi="Times New Roman" w:eastAsia="宋体" w:cs="Times New Roman"/>
      <w:sz w:val="24"/>
      <w:szCs w:val="20"/>
    </w:rPr>
  </w:style>
  <w:style w:type="character" w:customStyle="1" w:styleId="62">
    <w:name w:val="正文文本缩进 2 字符"/>
    <w:link w:val="24"/>
    <w:autoRedefine/>
    <w:qFormat/>
    <w:uiPriority w:val="0"/>
    <w:rPr>
      <w:rFonts w:ascii="Times New Roman" w:hAnsi="Times New Roman" w:eastAsia="仿宋_GB2312" w:cs="Times New Roman"/>
      <w:sz w:val="28"/>
      <w:szCs w:val="20"/>
    </w:rPr>
  </w:style>
  <w:style w:type="character" w:customStyle="1" w:styleId="63">
    <w:name w:val="批注框文本 字符"/>
    <w:link w:val="25"/>
    <w:autoRedefine/>
    <w:semiHidden/>
    <w:qFormat/>
    <w:uiPriority w:val="0"/>
    <w:rPr>
      <w:sz w:val="18"/>
      <w:szCs w:val="18"/>
    </w:rPr>
  </w:style>
  <w:style w:type="character" w:customStyle="1" w:styleId="64">
    <w:name w:val="页脚 字符"/>
    <w:link w:val="26"/>
    <w:autoRedefine/>
    <w:qFormat/>
    <w:uiPriority w:val="99"/>
    <w:rPr>
      <w:rFonts w:ascii="Times New Roman" w:hAnsi="Times New Roman" w:eastAsia="宋体" w:cs="Times New Roman"/>
      <w:sz w:val="18"/>
      <w:szCs w:val="20"/>
    </w:rPr>
  </w:style>
  <w:style w:type="character" w:customStyle="1" w:styleId="65">
    <w:name w:val="页眉 字符"/>
    <w:link w:val="27"/>
    <w:autoRedefine/>
    <w:qFormat/>
    <w:uiPriority w:val="0"/>
    <w:rPr>
      <w:rFonts w:ascii="Times New Roman" w:hAnsi="Times New Roman" w:eastAsia="宋体" w:cs="Times New Roman"/>
      <w:sz w:val="18"/>
      <w:szCs w:val="18"/>
    </w:rPr>
  </w:style>
  <w:style w:type="character" w:customStyle="1" w:styleId="66">
    <w:name w:val="正文文本缩进 3 字符"/>
    <w:link w:val="30"/>
    <w:autoRedefine/>
    <w:qFormat/>
    <w:uiPriority w:val="0"/>
    <w:rPr>
      <w:rFonts w:ascii="Times New Roman" w:hAnsi="Times New Roman" w:eastAsia="宋体" w:cs="Times New Roman"/>
      <w:sz w:val="16"/>
      <w:szCs w:val="16"/>
    </w:rPr>
  </w:style>
  <w:style w:type="character" w:customStyle="1" w:styleId="67">
    <w:name w:val="正文文本 2 字符"/>
    <w:link w:val="31"/>
    <w:autoRedefine/>
    <w:qFormat/>
    <w:uiPriority w:val="0"/>
    <w:rPr>
      <w:rFonts w:ascii="Times New Roman" w:hAnsi="Times New Roman" w:eastAsia="宋体" w:cs="Times New Roman"/>
      <w:b/>
      <w:bCs/>
      <w:sz w:val="18"/>
      <w:szCs w:val="24"/>
    </w:rPr>
  </w:style>
  <w:style w:type="character" w:customStyle="1" w:styleId="68">
    <w:name w:val="批注主题 字符"/>
    <w:link w:val="33"/>
    <w:autoRedefine/>
    <w:semiHidden/>
    <w:qFormat/>
    <w:uiPriority w:val="99"/>
    <w:rPr>
      <w:b/>
      <w:bCs/>
      <w:kern w:val="2"/>
      <w:sz w:val="21"/>
      <w:szCs w:val="24"/>
    </w:rPr>
  </w:style>
  <w:style w:type="character" w:customStyle="1" w:styleId="69">
    <w:name w:val="正文文本首行缩进 字符"/>
    <w:link w:val="34"/>
    <w:autoRedefine/>
    <w:qFormat/>
    <w:uiPriority w:val="0"/>
    <w:rPr>
      <w:rFonts w:ascii="Times New Roman" w:hAnsi="Times New Roman" w:eastAsia="宋体" w:cs="Times New Roman"/>
      <w:sz w:val="24"/>
      <w:szCs w:val="24"/>
    </w:rPr>
  </w:style>
  <w:style w:type="paragraph" w:customStyle="1" w:styleId="70">
    <w:name w:val="标题 21"/>
    <w:basedOn w:val="1"/>
    <w:next w:val="1"/>
    <w:autoRedefine/>
    <w:qFormat/>
    <w:uiPriority w:val="0"/>
    <w:pPr>
      <w:keepNext/>
      <w:keepLines/>
      <w:spacing w:before="260" w:after="260" w:line="416" w:lineRule="auto"/>
      <w:jc w:val="center"/>
      <w:outlineLvl w:val="1"/>
    </w:pPr>
    <w:rPr>
      <w:rFonts w:ascii="Arial" w:hAnsi="Arial" w:eastAsia="幼圆"/>
      <w:b/>
      <w:bCs/>
      <w:sz w:val="44"/>
      <w:szCs w:val="44"/>
    </w:rPr>
  </w:style>
  <w:style w:type="paragraph" w:customStyle="1" w:styleId="71">
    <w:name w:val="Default"/>
    <w:basedOn w:val="1"/>
    <w:autoRedefine/>
    <w:qFormat/>
    <w:uiPriority w:val="0"/>
    <w:pPr>
      <w:autoSpaceDE w:val="0"/>
      <w:autoSpaceDN w:val="0"/>
      <w:adjustRightInd w:val="0"/>
      <w:jc w:val="left"/>
    </w:pPr>
    <w:rPr>
      <w:rFonts w:ascii="Arial" w:hAnsi="Arial" w:eastAsia="PMingLiU"/>
      <w:kern w:val="0"/>
      <w:sz w:val="20"/>
      <w:szCs w:val="20"/>
    </w:rPr>
  </w:style>
  <w:style w:type="paragraph" w:customStyle="1" w:styleId="72">
    <w:name w:val="正文1"/>
    <w:next w:val="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73">
    <w:name w:val="style4"/>
    <w:basedOn w:val="1"/>
    <w:next w:val="74"/>
    <w:autoRedefine/>
    <w:qFormat/>
    <w:uiPriority w:val="0"/>
    <w:pPr>
      <w:widowControl/>
      <w:spacing w:before="280" w:after="280"/>
    </w:pPr>
    <w:rPr>
      <w:rFonts w:ascii="宋体"/>
      <w:sz w:val="18"/>
    </w:rPr>
  </w:style>
  <w:style w:type="paragraph" w:customStyle="1" w:styleId="7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75">
    <w:name w:val="font11"/>
    <w:autoRedefine/>
    <w:qFormat/>
    <w:uiPriority w:val="0"/>
    <w:rPr>
      <w:rFonts w:hint="eastAsia" w:ascii="宋体" w:hAnsi="宋体" w:eastAsia="宋体" w:cs="宋体"/>
      <w:color w:val="000000"/>
      <w:sz w:val="24"/>
      <w:szCs w:val="24"/>
      <w:u w:val="none"/>
    </w:rPr>
  </w:style>
  <w:style w:type="character" w:customStyle="1" w:styleId="76">
    <w:name w:val="font41"/>
    <w:autoRedefine/>
    <w:qFormat/>
    <w:uiPriority w:val="0"/>
    <w:rPr>
      <w:rFonts w:hint="eastAsia" w:ascii="宋体" w:hAnsi="宋体" w:eastAsia="宋体" w:cs="宋体"/>
      <w:color w:val="FFCC00"/>
      <w:sz w:val="24"/>
      <w:szCs w:val="24"/>
      <w:u w:val="none"/>
    </w:rPr>
  </w:style>
  <w:style w:type="character" w:customStyle="1" w:styleId="77">
    <w:name w:val="样式 ssss + 宋体 五号1 Char"/>
    <w:link w:val="78"/>
    <w:autoRedefine/>
    <w:qFormat/>
    <w:uiPriority w:val="0"/>
    <w:rPr>
      <w:rFonts w:ascii="宋体" w:hAnsi="宋体" w:eastAsia="宋体" w:cs="Times New Roman"/>
      <w:sz w:val="24"/>
      <w:szCs w:val="24"/>
    </w:rPr>
  </w:style>
  <w:style w:type="paragraph" w:customStyle="1" w:styleId="78">
    <w:name w:val="样式 ssss + 宋体 五号1"/>
    <w:basedOn w:val="79"/>
    <w:link w:val="77"/>
    <w:autoRedefine/>
    <w:qFormat/>
    <w:uiPriority w:val="0"/>
    <w:rPr>
      <w:rFonts w:ascii="宋体" w:hAnsi="宋体"/>
    </w:rPr>
  </w:style>
  <w:style w:type="paragraph" w:customStyle="1" w:styleId="79">
    <w:name w:val="ssss"/>
    <w:basedOn w:val="1"/>
    <w:link w:val="80"/>
    <w:autoRedefine/>
    <w:qFormat/>
    <w:uiPriority w:val="0"/>
    <w:pPr>
      <w:spacing w:line="360" w:lineRule="auto"/>
      <w:ind w:firstLine="480" w:firstLineChars="200"/>
    </w:pPr>
    <w:rPr>
      <w:kern w:val="0"/>
      <w:sz w:val="24"/>
    </w:rPr>
  </w:style>
  <w:style w:type="character" w:customStyle="1" w:styleId="80">
    <w:name w:val="ssss Char1"/>
    <w:link w:val="79"/>
    <w:autoRedefine/>
    <w:qFormat/>
    <w:uiPriority w:val="0"/>
    <w:rPr>
      <w:rFonts w:ascii="Times New Roman" w:hAnsi="Times New Roman" w:eastAsia="宋体" w:cs="Times New Roman"/>
      <w:sz w:val="24"/>
      <w:szCs w:val="24"/>
    </w:rPr>
  </w:style>
  <w:style w:type="character" w:customStyle="1" w:styleId="81">
    <w:name w:val="font01"/>
    <w:autoRedefine/>
    <w:qFormat/>
    <w:uiPriority w:val="0"/>
    <w:rPr>
      <w:rFonts w:hint="eastAsia" w:ascii="宋体" w:hAnsi="宋体" w:eastAsia="宋体" w:cs="宋体"/>
      <w:color w:val="FF0000"/>
      <w:sz w:val="24"/>
      <w:szCs w:val="24"/>
      <w:u w:val="none"/>
    </w:rPr>
  </w:style>
  <w:style w:type="character" w:customStyle="1" w:styleId="82">
    <w:name w:val="point_normal1"/>
    <w:autoRedefine/>
    <w:qFormat/>
    <w:uiPriority w:val="0"/>
    <w:rPr>
      <w:rFonts w:hint="default" w:ascii="Arial" w:hAnsi="Arial" w:cs="Arial"/>
      <w:sz w:val="16"/>
      <w:szCs w:val="16"/>
    </w:rPr>
  </w:style>
  <w:style w:type="character" w:customStyle="1" w:styleId="83">
    <w:name w:val="列表段落 字符1"/>
    <w:link w:val="84"/>
    <w:autoRedefine/>
    <w:qFormat/>
    <w:locked/>
    <w:uiPriority w:val="99"/>
  </w:style>
  <w:style w:type="paragraph" w:styleId="84">
    <w:name w:val="List Paragraph"/>
    <w:basedOn w:val="1"/>
    <w:link w:val="83"/>
    <w:autoRedefine/>
    <w:qFormat/>
    <w:uiPriority w:val="99"/>
    <w:pPr>
      <w:ind w:firstLine="420" w:firstLineChars="200"/>
    </w:pPr>
    <w:rPr>
      <w:kern w:val="0"/>
      <w:sz w:val="20"/>
      <w:szCs w:val="20"/>
    </w:rPr>
  </w:style>
  <w:style w:type="character" w:customStyle="1" w:styleId="85">
    <w:name w:val="文档结构图 Char1"/>
    <w:autoRedefine/>
    <w:semiHidden/>
    <w:qFormat/>
    <w:uiPriority w:val="99"/>
    <w:rPr>
      <w:rFonts w:ascii="宋体" w:hAnsi="Times New Roman" w:eastAsia="宋体" w:cs="Times New Roman"/>
      <w:sz w:val="18"/>
      <w:szCs w:val="18"/>
    </w:rPr>
  </w:style>
  <w:style w:type="character" w:customStyle="1" w:styleId="86">
    <w:name w:val="普通正文 Char"/>
    <w:link w:val="87"/>
    <w:autoRedefine/>
    <w:qFormat/>
    <w:uiPriority w:val="0"/>
    <w:rPr>
      <w:rFonts w:ascii="Arial" w:hAnsi="Arial"/>
      <w:sz w:val="24"/>
      <w:szCs w:val="24"/>
    </w:rPr>
  </w:style>
  <w:style w:type="paragraph" w:customStyle="1" w:styleId="87">
    <w:name w:val="普通正文"/>
    <w:basedOn w:val="1"/>
    <w:link w:val="86"/>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8">
    <w:name w:val="FA正文 Char"/>
    <w:link w:val="89"/>
    <w:autoRedefine/>
    <w:qFormat/>
    <w:uiPriority w:val="0"/>
    <w:rPr>
      <w:rFonts w:ascii="宋体" w:hAnsi="宋体" w:eastAsia="宋体" w:cs="Times New Roman"/>
      <w:sz w:val="28"/>
      <w:szCs w:val="28"/>
    </w:rPr>
  </w:style>
  <w:style w:type="paragraph" w:customStyle="1" w:styleId="89">
    <w:name w:val="FA正文"/>
    <w:basedOn w:val="1"/>
    <w:link w:val="88"/>
    <w:autoRedefine/>
    <w:qFormat/>
    <w:uiPriority w:val="0"/>
    <w:pPr>
      <w:tabs>
        <w:tab w:val="left" w:pos="3375"/>
      </w:tabs>
      <w:spacing w:line="440" w:lineRule="atLeast"/>
      <w:ind w:firstLine="538" w:firstLineChars="192"/>
    </w:pPr>
    <w:rPr>
      <w:rFonts w:ascii="宋体" w:hAnsi="宋体"/>
      <w:kern w:val="0"/>
      <w:sz w:val="28"/>
      <w:szCs w:val="28"/>
    </w:rPr>
  </w:style>
  <w:style w:type="character" w:customStyle="1" w:styleId="90">
    <w:name w:val="正文缩进2格 Char"/>
    <w:link w:val="91"/>
    <w:autoRedefine/>
    <w:qFormat/>
    <w:uiPriority w:val="0"/>
    <w:rPr>
      <w:rFonts w:ascii="仿宋_GB2312" w:hAnsi="宋体" w:eastAsia="仿宋_GB2312" w:cs="Times New Roman"/>
      <w:sz w:val="31"/>
      <w:szCs w:val="28"/>
    </w:rPr>
  </w:style>
  <w:style w:type="paragraph" w:customStyle="1" w:styleId="91">
    <w:name w:val="正文缩进2格"/>
    <w:basedOn w:val="1"/>
    <w:link w:val="90"/>
    <w:autoRedefine/>
    <w:qFormat/>
    <w:uiPriority w:val="0"/>
    <w:pPr>
      <w:spacing w:line="600" w:lineRule="exact"/>
      <w:ind w:firstLine="639" w:firstLineChars="206"/>
    </w:pPr>
    <w:rPr>
      <w:rFonts w:ascii="仿宋_GB2312" w:hAnsi="宋体" w:eastAsia="仿宋_GB2312"/>
      <w:kern w:val="0"/>
      <w:sz w:val="31"/>
      <w:szCs w:val="28"/>
    </w:rPr>
  </w:style>
  <w:style w:type="character" w:customStyle="1" w:styleId="92">
    <w:name w:val="cn_text1"/>
    <w:autoRedefine/>
    <w:qFormat/>
    <w:uiPriority w:val="0"/>
    <w:rPr>
      <w:rFonts w:hint="default" w:ascii="ˎ̥" w:hAnsi="ˎ̥"/>
      <w:color w:val="003399"/>
      <w:spacing w:val="15"/>
      <w:sz w:val="18"/>
      <w:szCs w:val="18"/>
    </w:rPr>
  </w:style>
  <w:style w:type="character" w:customStyle="1" w:styleId="93">
    <w:name w:val="ssss Char"/>
    <w:autoRedefine/>
    <w:qFormat/>
    <w:uiPriority w:val="0"/>
    <w:rPr>
      <w:rFonts w:eastAsia="宋体"/>
      <w:kern w:val="2"/>
      <w:sz w:val="24"/>
      <w:szCs w:val="24"/>
      <w:lang w:val="en-US" w:eastAsia="zh-CN" w:bidi="ar-SA"/>
    </w:rPr>
  </w:style>
  <w:style w:type="character" w:customStyle="1" w:styleId="94">
    <w:name w:val="标题 4 Char1"/>
    <w:autoRedefine/>
    <w:qFormat/>
    <w:uiPriority w:val="0"/>
    <w:rPr>
      <w:rFonts w:ascii="Arial" w:hAnsi="Arial" w:eastAsia="黑体"/>
      <w:b/>
      <w:bCs/>
      <w:kern w:val="2"/>
      <w:sz w:val="28"/>
      <w:szCs w:val="28"/>
      <w:lang w:val="en-US" w:eastAsia="zh-CN" w:bidi="ar-SA"/>
    </w:rPr>
  </w:style>
  <w:style w:type="character" w:customStyle="1" w:styleId="95">
    <w:name w:val="列表段落 字符"/>
    <w:autoRedefine/>
    <w:qFormat/>
    <w:uiPriority w:val="34"/>
    <w:rPr>
      <w:rFonts w:ascii="Calibri" w:hAnsi="Calibri"/>
      <w:kern w:val="2"/>
      <w:sz w:val="21"/>
      <w:szCs w:val="22"/>
    </w:rPr>
  </w:style>
  <w:style w:type="character" w:customStyle="1" w:styleId="96">
    <w:name w:val="批注框文本 Char1"/>
    <w:autoRedefine/>
    <w:semiHidden/>
    <w:qFormat/>
    <w:uiPriority w:val="99"/>
    <w:rPr>
      <w:rFonts w:ascii="Times New Roman" w:hAnsi="Times New Roman" w:eastAsia="宋体" w:cs="Times New Roman"/>
      <w:sz w:val="18"/>
      <w:szCs w:val="18"/>
    </w:rPr>
  </w:style>
  <w:style w:type="paragraph" w:customStyle="1" w:styleId="97">
    <w:name w:val="样式 正文文本缩进 3 + 四号"/>
    <w:basedOn w:val="30"/>
    <w:autoRedefine/>
    <w:qFormat/>
    <w:uiPriority w:val="0"/>
    <w:pPr>
      <w:spacing w:after="0" w:line="360" w:lineRule="auto"/>
      <w:ind w:left="0" w:leftChars="0" w:firstLine="437"/>
    </w:pPr>
    <w:rPr>
      <w:sz w:val="24"/>
      <w:szCs w:val="21"/>
    </w:rPr>
  </w:style>
  <w:style w:type="paragraph" w:customStyle="1" w:styleId="98">
    <w:name w:val="标题1"/>
    <w:basedOn w:val="1"/>
    <w:next w:val="1"/>
    <w:autoRedefine/>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99">
    <w:name w:val="正文缩进1"/>
    <w:basedOn w:val="1"/>
    <w:autoRedefine/>
    <w:qFormat/>
    <w:uiPriority w:val="0"/>
    <w:pPr>
      <w:widowControl/>
      <w:ind w:firstLine="420"/>
      <w:jc w:val="left"/>
    </w:pPr>
    <w:rPr>
      <w:kern w:val="0"/>
    </w:rPr>
  </w:style>
  <w:style w:type="paragraph" w:customStyle="1" w:styleId="100">
    <w:name w:val="样式 宋体 四号 黑色 左侧:  0.74 厘米 首行缩进:  0.74 厘米 行距: 1.5 倍行距"/>
    <w:basedOn w:val="1"/>
    <w:autoRedefine/>
    <w:qFormat/>
    <w:uiPriority w:val="0"/>
    <w:pPr>
      <w:spacing w:line="360" w:lineRule="auto"/>
      <w:ind w:firstLine="420"/>
    </w:pPr>
    <w:rPr>
      <w:rFonts w:ascii="宋体"/>
      <w:color w:val="000000"/>
      <w:sz w:val="24"/>
      <w:szCs w:val="21"/>
    </w:rPr>
  </w:style>
  <w:style w:type="paragraph" w:customStyle="1" w:styleId="101">
    <w:name w:val="无间隔1"/>
    <w:autoRedefine/>
    <w:qFormat/>
    <w:uiPriority w:val="0"/>
    <w:rPr>
      <w:rFonts w:ascii="Times New Roman" w:hAnsi="Times New Roman" w:eastAsia="宋体" w:cs="Calibri"/>
      <w:sz w:val="22"/>
      <w:lang w:val="en-US" w:eastAsia="zh-CN" w:bidi="ar-SA"/>
    </w:rPr>
  </w:style>
  <w:style w:type="paragraph" w:customStyle="1" w:styleId="102">
    <w:name w:val="样式 样式 ssss + 宋体 五号 + 首行缩进:  2 字符"/>
    <w:basedOn w:val="103"/>
    <w:autoRedefine/>
    <w:qFormat/>
    <w:uiPriority w:val="0"/>
    <w:pPr>
      <w:ind w:firstLine="480"/>
    </w:pPr>
  </w:style>
  <w:style w:type="paragraph" w:customStyle="1" w:styleId="103">
    <w:name w:val="样式 ssss + 宋体 五号"/>
    <w:basedOn w:val="79"/>
    <w:autoRedefine/>
    <w:qFormat/>
    <w:uiPriority w:val="0"/>
    <w:pPr>
      <w:ind w:firstLine="420"/>
    </w:pPr>
    <w:rPr>
      <w:rFonts w:ascii="宋体" w:hAnsi="宋体" w:cs="宋体"/>
      <w:szCs w:val="20"/>
    </w:rPr>
  </w:style>
  <w:style w:type="paragraph" w:customStyle="1" w:styleId="104">
    <w:name w:val="Char Char Char Char"/>
    <w:basedOn w:val="1"/>
    <w:autoRedefine/>
    <w:qFormat/>
    <w:uiPriority w:val="0"/>
    <w:rPr>
      <w:rFonts w:ascii="Tahoma" w:hAnsi="Tahoma"/>
      <w:sz w:val="24"/>
      <w:szCs w:val="20"/>
    </w:rPr>
  </w:style>
  <w:style w:type="paragraph" w:customStyle="1" w:styleId="105">
    <w:name w:val="2cxspla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6">
    <w:name w:val="ec_msonormal"/>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07">
    <w:name w:val="标题-----3"/>
    <w:basedOn w:val="5"/>
    <w:autoRedefine/>
    <w:qFormat/>
    <w:uiPriority w:val="0"/>
    <w:pPr>
      <w:spacing w:before="0" w:after="0" w:line="240" w:lineRule="auto"/>
      <w:outlineLvl w:val="0"/>
    </w:pPr>
    <w:rPr>
      <w:rFonts w:ascii="宋体" w:hAnsi="宋体"/>
      <w:b w:val="0"/>
      <w:bCs w:val="0"/>
      <w:sz w:val="28"/>
      <w:szCs w:val="28"/>
    </w:rPr>
  </w:style>
  <w:style w:type="paragraph" w:customStyle="1" w:styleId="108">
    <w:name w:val="Char Char Char Char Char Char Char Char Char Char Char Char Char"/>
    <w:basedOn w:val="1"/>
    <w:autoRedefine/>
    <w:qFormat/>
    <w:uiPriority w:val="0"/>
  </w:style>
  <w:style w:type="paragraph" w:customStyle="1" w:styleId="109">
    <w:name w:val="表格正文"/>
    <w:basedOn w:val="1"/>
    <w:autoRedefine/>
    <w:qFormat/>
    <w:uiPriority w:val="0"/>
    <w:pPr>
      <w:spacing w:line="360" w:lineRule="auto"/>
      <w:jc w:val="left"/>
    </w:pPr>
    <w:rPr>
      <w:rFonts w:ascii="Calibri" w:hAnsi="Calibri"/>
      <w:color w:val="000000"/>
      <w:szCs w:val="28"/>
    </w:rPr>
  </w:style>
  <w:style w:type="paragraph" w:customStyle="1" w:styleId="110">
    <w:name w:val="Char Char Char Char1"/>
    <w:basedOn w:val="1"/>
    <w:autoRedefine/>
    <w:qFormat/>
    <w:uiPriority w:val="0"/>
    <w:rPr>
      <w:rFonts w:ascii="Tahoma" w:hAnsi="Tahoma"/>
      <w:sz w:val="24"/>
      <w:szCs w:val="20"/>
    </w:rPr>
  </w:style>
  <w:style w:type="paragraph" w:customStyle="1" w:styleId="111">
    <w:name w:val="Char Char Char"/>
    <w:basedOn w:val="1"/>
    <w:autoRedefine/>
    <w:qFormat/>
    <w:uiPriority w:val="0"/>
    <w:rPr>
      <w:rFonts w:ascii="Tahoma" w:hAnsi="Tahoma"/>
      <w:sz w:val="24"/>
      <w:szCs w:val="20"/>
    </w:rPr>
  </w:style>
  <w:style w:type="paragraph" w:customStyle="1" w:styleId="112">
    <w:name w:val="样式 ssss + 居中"/>
    <w:basedOn w:val="79"/>
    <w:autoRedefine/>
    <w:qFormat/>
    <w:uiPriority w:val="0"/>
    <w:pPr>
      <w:jc w:val="center"/>
    </w:pPr>
    <w:rPr>
      <w:rFonts w:cs="宋体"/>
      <w:szCs w:val="20"/>
    </w:rPr>
  </w:style>
  <w:style w:type="paragraph" w:customStyle="1" w:styleId="113">
    <w:name w:val="msonormalcxspla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4">
    <w:name w:val="Char"/>
    <w:basedOn w:val="1"/>
    <w:autoRedefine/>
    <w:qFormat/>
    <w:uiPriority w:val="0"/>
    <w:rPr>
      <w:rFonts w:ascii="Tahoma" w:hAnsi="Tahoma"/>
      <w:sz w:val="24"/>
      <w:szCs w:val="20"/>
    </w:rPr>
  </w:style>
  <w:style w:type="paragraph" w:customStyle="1" w:styleId="115">
    <w:name w:val="xl25"/>
    <w:basedOn w:val="1"/>
    <w:autoRedefine/>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16">
    <w:name w:val="样式8"/>
    <w:basedOn w:val="7"/>
    <w:autoRedefine/>
    <w:qFormat/>
    <w:uiPriority w:val="0"/>
    <w:pPr>
      <w:tabs>
        <w:tab w:val="left" w:pos="1152"/>
      </w:tabs>
    </w:pPr>
  </w:style>
  <w:style w:type="paragraph" w:customStyle="1" w:styleId="117">
    <w:name w:val="标题------4"/>
    <w:basedOn w:val="2"/>
    <w:autoRedefine/>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18">
    <w:name w:val="Char Char 字元 字元 字元 Char Char Char Char"/>
    <w:basedOn w:val="1"/>
    <w:autoRedefine/>
    <w:qFormat/>
    <w:uiPriority w:val="0"/>
    <w:pPr>
      <w:adjustRightInd w:val="0"/>
      <w:spacing w:line="360" w:lineRule="auto"/>
    </w:pPr>
    <w:rPr>
      <w:kern w:val="0"/>
      <w:sz w:val="24"/>
      <w:szCs w:val="20"/>
    </w:rPr>
  </w:style>
  <w:style w:type="paragraph" w:customStyle="1" w:styleId="119">
    <w:name w:val="Char Char Char Char Char Char Char Char Char Char Char Char Char1"/>
    <w:basedOn w:val="1"/>
    <w:autoRedefine/>
    <w:qFormat/>
    <w:uiPriority w:val="0"/>
    <w:rPr>
      <w:sz w:val="24"/>
    </w:rPr>
  </w:style>
  <w:style w:type="paragraph" w:customStyle="1" w:styleId="120">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1">
    <w:name w:val="表格"/>
    <w:basedOn w:val="1"/>
    <w:autoRedefine/>
    <w:qFormat/>
    <w:uiPriority w:val="0"/>
    <w:rPr>
      <w:rFonts w:ascii="Arial" w:hAnsi="Arial"/>
      <w:sz w:val="24"/>
    </w:rPr>
  </w:style>
  <w:style w:type="paragraph" w:customStyle="1" w:styleId="122">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样式1"/>
    <w:basedOn w:val="1"/>
    <w:autoRedefine/>
    <w:qFormat/>
    <w:uiPriority w:val="0"/>
    <w:pPr>
      <w:spacing w:before="120" w:after="120" w:line="360" w:lineRule="auto"/>
      <w:ind w:firstLine="480" w:firstLineChars="200"/>
    </w:pPr>
    <w:rPr>
      <w:sz w:val="24"/>
      <w:szCs w:val="20"/>
    </w:rPr>
  </w:style>
  <w:style w:type="paragraph" w:customStyle="1" w:styleId="12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6">
    <w:name w:val="Char Char Char Char Char Char Char Char Char Char"/>
    <w:basedOn w:val="1"/>
    <w:autoRedefine/>
    <w:qFormat/>
    <w:uiPriority w:val="0"/>
    <w:rPr>
      <w:rFonts w:ascii="Tahoma" w:hAnsi="Tahoma"/>
      <w:sz w:val="24"/>
      <w:szCs w:val="20"/>
    </w:rPr>
  </w:style>
  <w:style w:type="paragraph" w:customStyle="1" w:styleId="127">
    <w:name w:val="Char1"/>
    <w:basedOn w:val="1"/>
    <w:autoRedefine/>
    <w:qFormat/>
    <w:uiPriority w:val="0"/>
    <w:pPr>
      <w:tabs>
        <w:tab w:val="left" w:pos="360"/>
      </w:tabs>
    </w:pPr>
    <w:rPr>
      <w:sz w:val="24"/>
    </w:rPr>
  </w:style>
  <w:style w:type="paragraph" w:customStyle="1" w:styleId="128">
    <w:name w:val="Header2"/>
    <w:basedOn w:val="1"/>
    <w:autoRedefine/>
    <w:qFormat/>
    <w:uiPriority w:val="0"/>
    <w:pPr>
      <w:numPr>
        <w:ilvl w:val="0"/>
        <w:numId w:val="1"/>
      </w:numPr>
    </w:pPr>
  </w:style>
  <w:style w:type="paragraph" w:customStyle="1" w:styleId="129">
    <w:name w:val="普通(网站) Cha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30">
    <w:name w:val="2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1">
    <w:name w:val="DAS正文"/>
    <w:basedOn w:val="1"/>
    <w:autoRedefine/>
    <w:qFormat/>
    <w:uiPriority w:val="0"/>
    <w:pPr>
      <w:spacing w:line="360" w:lineRule="auto"/>
      <w:ind w:right="181" w:firstLine="480" w:firstLineChars="200"/>
    </w:pPr>
    <w:rPr>
      <w:rFonts w:ascii="Verdana" w:hAnsi="Verdana"/>
      <w:sz w:val="24"/>
      <w:szCs w:val="20"/>
    </w:rPr>
  </w:style>
  <w:style w:type="table" w:customStyle="1" w:styleId="132">
    <w:name w:val="网格型1"/>
    <w:basedOn w:val="36"/>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3">
    <w:name w:val="font51"/>
    <w:autoRedefine/>
    <w:qFormat/>
    <w:uiPriority w:val="0"/>
    <w:rPr>
      <w:rFonts w:hint="default" w:ascii="Times New Roman" w:hAnsi="Times New Roman" w:cs="Times New Roman"/>
      <w:color w:val="000000"/>
      <w:sz w:val="20"/>
      <w:szCs w:val="20"/>
      <w:u w:val="none"/>
    </w:rPr>
  </w:style>
  <w:style w:type="character" w:customStyle="1" w:styleId="134">
    <w:name w:val="font61"/>
    <w:autoRedefine/>
    <w:qFormat/>
    <w:uiPriority w:val="0"/>
    <w:rPr>
      <w:rFonts w:hint="default" w:ascii="Times New Roman" w:hAnsi="Times New Roman" w:cs="Times New Roman"/>
      <w:color w:val="000000"/>
      <w:sz w:val="21"/>
      <w:szCs w:val="21"/>
      <w:u w:val="none"/>
    </w:rPr>
  </w:style>
  <w:style w:type="character" w:customStyle="1" w:styleId="135">
    <w:name w:val="font71"/>
    <w:autoRedefine/>
    <w:qFormat/>
    <w:uiPriority w:val="0"/>
    <w:rPr>
      <w:rFonts w:hint="eastAsia" w:ascii="宋体" w:hAnsi="宋体" w:eastAsia="宋体" w:cs="宋体"/>
      <w:color w:val="000000"/>
      <w:sz w:val="22"/>
      <w:szCs w:val="22"/>
      <w:u w:val="none"/>
    </w:rPr>
  </w:style>
  <w:style w:type="paragraph" w:customStyle="1" w:styleId="136">
    <w:name w:val="表格CXH"/>
    <w:basedOn w:val="1"/>
    <w:autoRedefine/>
    <w:qFormat/>
    <w:uiPriority w:val="0"/>
    <w:pPr>
      <w:spacing w:line="276" w:lineRule="auto"/>
    </w:pPr>
    <w:rPr>
      <w:rFonts w:ascii="等线" w:hAnsi="等线"/>
    </w:rPr>
  </w:style>
  <w:style w:type="paragraph" w:customStyle="1" w:styleId="137">
    <w:name w:val="段"/>
    <w:next w:val="138"/>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138">
    <w:name w:val="正文 A"/>
    <w:next w:val="137"/>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39">
    <w:name w:val="cf01"/>
    <w:autoRedefine/>
    <w:qFormat/>
    <w:uiPriority w:val="0"/>
    <w:rPr>
      <w:rFonts w:hint="eastAsia" w:ascii="Microsoft YaHei UI" w:hAnsi="Microsoft YaHei UI" w:eastAsia="Microsoft YaHei UI"/>
      <w:sz w:val="18"/>
      <w:szCs w:val="18"/>
    </w:rPr>
  </w:style>
  <w:style w:type="paragraph" w:customStyle="1" w:styleId="140">
    <w:name w:val="Table Text"/>
    <w:basedOn w:val="1"/>
    <w:autoRedefine/>
    <w:semiHidden/>
    <w:qFormat/>
    <w:uiPriority w:val="0"/>
    <w:pPr>
      <w:widowControl/>
      <w:jc w:val="left"/>
    </w:pPr>
    <w:rPr>
      <w:rFonts w:eastAsia="Times New Roman"/>
      <w:color w:val="000000"/>
      <w:sz w:val="19"/>
      <w:szCs w:val="19"/>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3414</Words>
  <Characters>19462</Characters>
  <Lines>162</Lines>
  <Paragraphs>45</Paragraphs>
  <TotalTime>4</TotalTime>
  <ScaleCrop>false</ScaleCrop>
  <LinksUpToDate>false</LinksUpToDate>
  <CharactersWithSpaces>22831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2024-01-19T00:19:00Z</dcterms:created>
  <dc:creator>User</dc:creator>
  <cp:lastModifiedBy>杀手不太冷</cp:lastModifiedBy>
  <cp:lastPrinted>2023-07-28T06:59:00Z</cp:lastPrinted>
  <dcterms:modified xsi:type="dcterms:W3CDTF">2024-04-08T01:24:50Z</dcterms:modified>
  <dc:title>南通市Ⅹ项目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BBF36332036B42AB915708E95F1ADDBA_13</vt:lpwstr>
  </property>
  <property fmtid="{D5CDD505-2E9C-101B-9397-08002B2CF9AE}" pid="4" name="ClassificationContentMarkingHeaderShapeIds">
    <vt:lpwstr>3,4,5</vt:lpwstr>
  </property>
  <property fmtid="{D5CDD505-2E9C-101B-9397-08002B2CF9AE}" pid="5" name="ClassificationContentMarkingHeaderFontProps">
    <vt:lpwstr>#000000,8,arial</vt:lpwstr>
  </property>
  <property fmtid="{D5CDD505-2E9C-101B-9397-08002B2CF9AE}" pid="6" name="ClassificationContentMarkingHeaderText">
    <vt:lpwstr>KONE Internal</vt:lpwstr>
  </property>
</Properties>
</file>